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3B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宋体" w:hAnsi="宋体" w:eastAsia="宋体" w:cs="宋体"/>
          <w:b/>
          <w:bCs/>
          <w:sz w:val="36"/>
          <w:szCs w:val="44"/>
          <w:lang w:val="en-US" w:eastAsia="zh-CN"/>
        </w:rPr>
      </w:pPr>
      <w:r>
        <w:rPr>
          <w:rFonts w:hint="eastAsia" w:ascii="宋体" w:hAnsi="宋体" w:eastAsia="宋体" w:cs="宋体"/>
          <w:b/>
          <w:bCs/>
          <w:sz w:val="36"/>
          <w:szCs w:val="44"/>
        </w:rPr>
        <w:t>湖南建筑高级技工学校</w:t>
      </w:r>
      <w:r>
        <w:rPr>
          <w:rFonts w:hint="eastAsia" w:ascii="宋体" w:hAnsi="宋体" w:cs="宋体"/>
          <w:b/>
          <w:bCs/>
          <w:sz w:val="36"/>
          <w:szCs w:val="36"/>
          <w:lang w:val="en-US" w:eastAsia="zh-CN"/>
        </w:rPr>
        <w:t>网络安全防护服务单一来源</w:t>
      </w:r>
      <w:r>
        <w:rPr>
          <w:rFonts w:hint="eastAsia" w:ascii="宋体" w:hAnsi="宋体" w:cs="宋体"/>
          <w:b/>
          <w:bCs/>
          <w:sz w:val="36"/>
          <w:szCs w:val="44"/>
          <w:lang w:val="en-US" w:eastAsia="zh-CN"/>
        </w:rPr>
        <w:t>议价</w:t>
      </w:r>
      <w:r>
        <w:rPr>
          <w:rFonts w:hint="eastAsia" w:ascii="宋体" w:hAnsi="宋体" w:eastAsia="宋体" w:cs="宋体"/>
          <w:b/>
          <w:bCs/>
          <w:sz w:val="36"/>
          <w:szCs w:val="44"/>
          <w:lang w:val="en-US" w:eastAsia="zh-CN"/>
        </w:rPr>
        <w:t>文件</w:t>
      </w:r>
    </w:p>
    <w:p w14:paraId="5EED67D7">
      <w:pPr>
        <w:jc w:val="center"/>
        <w:rPr>
          <w:rFonts w:hint="default"/>
          <w:lang w:val="en-US" w:eastAsia="zh-CN"/>
        </w:rPr>
      </w:pPr>
    </w:p>
    <w:p w14:paraId="4C39FA82">
      <w:pPr>
        <w:jc w:val="left"/>
        <w:rPr>
          <w:rFonts w:hint="default"/>
          <w:lang w:val="en-US" w:eastAsia="zh-CN"/>
        </w:rPr>
      </w:pPr>
    </w:p>
    <w:tbl>
      <w:tblPr>
        <w:tblStyle w:val="8"/>
        <w:tblW w:w="17600" w:type="dxa"/>
        <w:tblInd w:w="-5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04"/>
        <w:gridCol w:w="14496"/>
      </w:tblGrid>
      <w:tr w14:paraId="589F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7600" w:type="dxa"/>
            <w:gridSpan w:val="2"/>
            <w:tcBorders>
              <w:top w:val="nil"/>
              <w:left w:val="nil"/>
              <w:bottom w:val="single" w:color="auto" w:sz="4" w:space="0"/>
              <w:right w:val="nil"/>
            </w:tcBorders>
            <w:noWrap w:val="0"/>
            <w:vAlign w:val="center"/>
          </w:tcPr>
          <w:p w14:paraId="654FC8D3">
            <w:pPr>
              <w:keepNext w:val="0"/>
              <w:keepLines w:val="0"/>
              <w:widowControl/>
              <w:suppressLineNumbers w:val="0"/>
              <w:jc w:val="left"/>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 xml:space="preserve"> 一、商务要求：</w:t>
            </w:r>
          </w:p>
        </w:tc>
      </w:tr>
      <w:tr w14:paraId="52AF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31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72F60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商务项目</w:t>
            </w:r>
          </w:p>
        </w:tc>
        <w:tc>
          <w:tcPr>
            <w:tcW w:w="144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3C771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商务要求</w:t>
            </w:r>
          </w:p>
        </w:tc>
      </w:tr>
      <w:tr w14:paraId="7A73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310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57ED39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法律责任</w:t>
            </w:r>
          </w:p>
        </w:tc>
        <w:tc>
          <w:tcPr>
            <w:tcW w:w="1449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CA3AF4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如果不满足议价公示内容而恶意议价的供应商，影响需求方工作正常开展，需求方保留追究其法律责任的权力，同时报政府采购监督部门严肃处理。</w:t>
            </w:r>
          </w:p>
        </w:tc>
      </w:tr>
      <w:tr w14:paraId="3EC0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310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30D64CB">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供应商基本资格条件</w:t>
            </w:r>
          </w:p>
        </w:tc>
        <w:tc>
          <w:tcPr>
            <w:tcW w:w="1449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73BC03D4">
            <w:pPr>
              <w:keepNext w:val="0"/>
              <w:keepLines w:val="0"/>
              <w:widowControl/>
              <w:numPr>
                <w:ilvl w:val="0"/>
                <w:numId w:val="1"/>
              </w:numPr>
              <w:suppressLineNumbers w:val="0"/>
              <w:ind w:left="0" w:leftChars="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供应商需具备《中华人民共和国政府采购法》第二十二条规定的基本资格条件，供应商营业执照副本复印件及加盖单位公章；</w:t>
            </w:r>
          </w:p>
          <w:p w14:paraId="043542D1">
            <w:pPr>
              <w:keepNext w:val="0"/>
              <w:keepLines w:val="0"/>
              <w:widowControl/>
              <w:numPr>
                <w:ilvl w:val="0"/>
                <w:numId w:val="1"/>
              </w:numPr>
              <w:suppressLineNumbers w:val="0"/>
              <w:ind w:left="0" w:leftChars="0" w:firstLineChars="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提交响应声明函（详见附件一）</w:t>
            </w:r>
          </w:p>
        </w:tc>
      </w:tr>
      <w:tr w14:paraId="7BFB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31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352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送货时间</w:t>
            </w:r>
          </w:p>
        </w:tc>
        <w:tc>
          <w:tcPr>
            <w:tcW w:w="144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8E3B0">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中标单位需在中标后3个工作日内签订合同。合同签订后10个工作日交付使用。</w:t>
            </w:r>
          </w:p>
        </w:tc>
      </w:tr>
      <w:tr w14:paraId="3370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2" w:hRule="atLeast"/>
        </w:trPr>
        <w:tc>
          <w:tcPr>
            <w:tcW w:w="31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CA01C">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000000"/>
                <w:kern w:val="0"/>
                <w:sz w:val="28"/>
                <w:szCs w:val="28"/>
                <w:u w:val="none"/>
                <w:lang w:val="en-US" w:eastAsia="zh-CN" w:bidi="ar"/>
              </w:rPr>
              <w:t>供应商资质</w:t>
            </w:r>
            <w:r>
              <w:rPr>
                <w:rFonts w:hint="eastAsia" w:ascii="宋体" w:hAnsi="宋体" w:eastAsia="宋体" w:cs="宋体"/>
                <w:i w:val="0"/>
                <w:iCs w:val="0"/>
                <w:color w:val="auto"/>
                <w:kern w:val="0"/>
                <w:sz w:val="28"/>
                <w:szCs w:val="28"/>
                <w:u w:val="none"/>
                <w:lang w:val="en-US" w:eastAsia="zh-CN" w:bidi="ar"/>
              </w:rPr>
              <w:t>要求</w:t>
            </w:r>
          </w:p>
        </w:tc>
        <w:tc>
          <w:tcPr>
            <w:tcW w:w="1449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7473D7">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（一）具备独立法人资格，经营范围包含网络安全、信息安全、技术服务、安全设备维保、系统升级等相关内容 </w:t>
            </w:r>
          </w:p>
          <w:p w14:paraId="1CA0333B">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（二）为我校现有安全设备的原厂商或具备原厂正式授权的服务提供商，拥有对应产品升级服务授权资质 </w:t>
            </w:r>
          </w:p>
          <w:p w14:paraId="455F9E59">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（三）熟悉我校安全设备型号、系统版本、防护策略、网络架构及升级流程，能够保证升级兼容、策略可用、功能完整。 </w:t>
            </w:r>
          </w:p>
          <w:p w14:paraId="73252F66">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（四）具备专业技术支撑团队，具备同类高校网络安全设备升级维保服务经验，具备快速响应和故障处理能力。</w:t>
            </w:r>
          </w:p>
          <w:p w14:paraId="7CB6DE8D">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（五）具备本地化或远程高效技术支持能力，能够满足学校 7×24 小时应急升级与保障需求。</w:t>
            </w:r>
          </w:p>
          <w:p w14:paraId="367911B6">
            <w:pPr>
              <w:keepNext w:val="0"/>
              <w:keepLines w:val="0"/>
              <w:widowControl/>
              <w:numPr>
                <w:ilvl w:val="0"/>
                <w:numId w:val="0"/>
              </w:numPr>
              <w:suppressLineNumbers w:val="0"/>
              <w:jc w:val="left"/>
              <w:textAlignment w:val="top"/>
              <w:rPr>
                <w:rFonts w:hint="eastAsia" w:ascii="宋体" w:hAnsi="宋体" w:eastAsia="宋体" w:cs="宋体"/>
                <w:i w:val="0"/>
                <w:iCs w:val="0"/>
                <w:color w:val="auto"/>
                <w:sz w:val="28"/>
                <w:szCs w:val="28"/>
                <w:u w:val="none"/>
              </w:rPr>
            </w:pPr>
          </w:p>
        </w:tc>
      </w:tr>
    </w:tbl>
    <w:p w14:paraId="1AE049FA">
      <w:pPr>
        <w:jc w:val="left"/>
        <w:rPr>
          <w:rFonts w:hint="default"/>
          <w:lang w:val="en-US" w:eastAsia="zh-CN"/>
        </w:rPr>
      </w:pPr>
    </w:p>
    <w:p w14:paraId="3DDEB603">
      <w:pPr>
        <w:pStyle w:val="2"/>
        <w:rPr>
          <w:rFonts w:hint="default"/>
          <w:lang w:val="en-US" w:eastAsia="zh-CN"/>
        </w:rPr>
      </w:pPr>
    </w:p>
    <w:p w14:paraId="25505294">
      <w:pPr>
        <w:rPr>
          <w:rFonts w:hint="default"/>
          <w:lang w:val="en-US" w:eastAsia="zh-CN"/>
        </w:rPr>
      </w:pPr>
    </w:p>
    <w:p w14:paraId="5DCCE669"/>
    <w:p w14:paraId="4301411E">
      <w:pPr>
        <w:spacing w:line="360" w:lineRule="exact"/>
        <w:jc w:val="left"/>
        <w:rPr>
          <w:rFonts w:hint="eastAsia" w:ascii="宋体" w:hAnsi="宋体" w:cs="宋体"/>
          <w:b/>
          <w:sz w:val="36"/>
          <w:szCs w:val="36"/>
          <w:lang w:val="en-US" w:eastAsia="zh-CN"/>
        </w:rPr>
      </w:pPr>
    </w:p>
    <w:p w14:paraId="432EB50E">
      <w:pPr>
        <w:adjustRightInd w:val="0"/>
        <w:snapToGrid w:val="0"/>
        <w:spacing w:line="360" w:lineRule="exact"/>
        <w:jc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关于网络安全防护服务（IPS / 网关杀毒 / URL 规则 / 漏洞检测等）单一来源采购需求书</w:t>
      </w:r>
    </w:p>
    <w:p w14:paraId="4A4EC7D5">
      <w:pPr>
        <w:adjustRightInd w:val="0"/>
        <w:snapToGrid w:val="0"/>
        <w:spacing w:line="360" w:lineRule="exact"/>
        <w:jc w:val="center"/>
        <w:rPr>
          <w:rFonts w:hint="eastAsia" w:ascii="宋体" w:hAnsi="宋体" w:cs="宋体"/>
          <w:sz w:val="36"/>
          <w:szCs w:val="36"/>
          <w:lang w:val="en-US" w:eastAsia="zh-CN"/>
        </w:rPr>
      </w:pPr>
    </w:p>
    <w:p w14:paraId="3F7CDAB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采购项目名称 </w:t>
      </w:r>
    </w:p>
    <w:p w14:paraId="5164DF28">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网络安全防护功能模块升级与规则库更新服务（含 IPS 漏洞防护、服务器防护、网关杀毒、URL &amp; 应用识别、僵尸网络检测、实时漏洞检测、软件升级）</w:t>
      </w:r>
    </w:p>
    <w:p w14:paraId="45159444">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auto"/>
        <w:ind w:left="0" w:leftChars="0" w:right="0" w:rightChars="0" w:firstLine="480" w:firstLineChars="200"/>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采购背景与必要性 </w:t>
      </w:r>
    </w:p>
    <w:p w14:paraId="6D5ED992">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保障我校校园网络核心安全设备长期稳定运行，持续提升网络边界安全防护能力，有效抵御外部攻击、病毒入侵、恶意程序传播、非法访问、漏洞利用等安全风险，确保校园网络出口、服务器区、核心业务系统、教学办公终端整体安全可控。我校现有网络安全设备运行依赖专属引擎、特征库、应用识别规则、漏洞库及防护模块，上述升级库与功能模块具有厂商专属技术体系、版本强关联、策略深度绑定等特点，非原厂商或授权服务商无法完成合规升级、版本匹配、策略兼容、功能生效及异常回退处理。为避免出现升级失败、规则冲突、防护失效、设备宕机、安全漏洞暴露等问题，保障全年威胁检测精准、拦截有效、运行稳定，拟采用单一来源方式采购本次网络安全防护升级更新服务，项目实施必要性充分。</w:t>
      </w:r>
    </w:p>
    <w:p w14:paraId="5D145C92">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auto"/>
        <w:ind w:left="0" w:leftChars="0" w:right="0" w:rightChars="0" w:firstLine="480" w:firstLineChars="200"/>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项目核心内容与交付要求 </w:t>
      </w:r>
    </w:p>
    <w:p w14:paraId="48DB5CA9">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（一）维护依据 严格按照网络安全相关法律法规、等级保护要求、设备原厂技术规范、版本兼容标准及学校网络安全管理规定执行升级与维护。</w:t>
      </w:r>
    </w:p>
    <w:p w14:paraId="1A735287">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（二）服务范围 完成我校网络安全设备以下内容全年持续更新与技术保障：</w:t>
      </w:r>
    </w:p>
    <w:p w14:paraId="0729C1AC">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IPS 漏洞防护模块 + 服务器防护模块功能更新与授权续用；</w:t>
      </w:r>
    </w:p>
    <w:p w14:paraId="36225B9E">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网关杀毒引擎升级、病毒库年度更新与授权许可；</w:t>
      </w:r>
    </w:p>
    <w:p w14:paraId="1BB8F1AA">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URL 分类库、应用识别规则库全年更新；</w:t>
      </w:r>
    </w:p>
    <w:p w14:paraId="0FBC8120">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僵尸网络检测特征库、威胁情报库年度更新；</w:t>
      </w:r>
    </w:p>
    <w:p w14:paraId="73E26BF8">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实时漏洞检测库、POC 漏洞规则年度更新；</w:t>
      </w:r>
    </w:p>
    <w:p w14:paraId="5FD0B037">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设备系统软件版本升级、补丁更新、BUG 修复与功能优化；</w:t>
      </w:r>
    </w:p>
    <w:p w14:paraId="707E79C0">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升级前后策略检查、兼容性验证、异常排查与恢复保障。</w:t>
      </w:r>
    </w:p>
    <w:p w14:paraId="617AC162">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服务要求 </w:t>
      </w:r>
    </w:p>
    <w:p w14:paraId="62F919D1">
      <w:pPr>
        <w:keepNext w:val="0"/>
        <w:keepLines w:val="0"/>
        <w:pageBreakBefore w:val="0"/>
        <w:widowControl w:val="0"/>
        <w:numPr>
          <w:ilvl w:val="0"/>
          <w:numId w:val="4"/>
        </w:numPr>
        <w:kinsoku/>
        <w:wordWrap/>
        <w:overflowPunct/>
        <w:topLinePunct w:val="0"/>
        <w:autoSpaceDE/>
        <w:autoSpaceDN/>
        <w:bidi w:val="0"/>
        <w:adjustRightInd w:val="0"/>
        <w:snapToGrid w:val="0"/>
        <w:spacing w:line="300" w:lineRule="auto"/>
        <w:ind w:right="0" w:rightChars="0" w:firstLine="720" w:firstLineChars="3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运行标准：安全设备全年稳定在线，升级不中断业务；IPS 防护、病毒查杀、应用识别、僵尸网络检测、漏洞检测规则库保持最新有效版本，威胁检出率与拦截率符合厂商标准与等保要求，设备功能完整可用。</w:t>
      </w:r>
    </w:p>
    <w:p w14:paraId="194A1F82">
      <w:pPr>
        <w:keepNext w:val="0"/>
        <w:keepLines w:val="0"/>
        <w:pageBreakBefore w:val="0"/>
        <w:widowControl w:val="0"/>
        <w:numPr>
          <w:ilvl w:val="0"/>
          <w:numId w:val="4"/>
        </w:numPr>
        <w:kinsoku/>
        <w:wordWrap/>
        <w:overflowPunct/>
        <w:topLinePunct w:val="0"/>
        <w:autoSpaceDE/>
        <w:autoSpaceDN/>
        <w:bidi w:val="0"/>
        <w:adjustRightInd w:val="0"/>
        <w:snapToGrid w:val="0"/>
        <w:spacing w:line="300" w:lineRule="auto"/>
        <w:ind w:left="0" w:leftChars="0" w:right="0" w:rightChars="0" w:firstLine="720" w:firstLineChars="3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升级保障：提供年度自动 / 手动升级推送服务，重大高危漏洞爆发时提供紧急规则升级与策略加固支持。</w:t>
      </w:r>
    </w:p>
    <w:p w14:paraId="30BC96A1">
      <w:pPr>
        <w:keepNext w:val="0"/>
        <w:keepLines w:val="0"/>
        <w:pageBreakBefore w:val="0"/>
        <w:widowControl w:val="0"/>
        <w:numPr>
          <w:ilvl w:val="0"/>
          <w:numId w:val="4"/>
        </w:numPr>
        <w:kinsoku/>
        <w:wordWrap/>
        <w:overflowPunct/>
        <w:topLinePunct w:val="0"/>
        <w:autoSpaceDE/>
        <w:autoSpaceDN/>
        <w:bidi w:val="0"/>
        <w:adjustRightInd w:val="0"/>
        <w:snapToGrid w:val="0"/>
        <w:spacing w:line="300" w:lineRule="auto"/>
        <w:ind w:left="0" w:leftChars="0" w:right="0" w:rightChars="0" w:firstLine="720" w:firstLineChars="3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故障响应：升级异常或设备故障时，2 小时内响应，一般问题 4 小时内解决，重大问题 24 小时内完成恢复并提供解决方案。</w:t>
      </w:r>
    </w:p>
    <w:p w14:paraId="37327074">
      <w:pPr>
        <w:keepNext w:val="0"/>
        <w:keepLines w:val="0"/>
        <w:pageBreakBefore w:val="0"/>
        <w:widowControl w:val="0"/>
        <w:numPr>
          <w:ilvl w:val="0"/>
          <w:numId w:val="4"/>
        </w:numPr>
        <w:kinsoku/>
        <w:wordWrap/>
        <w:overflowPunct/>
        <w:topLinePunct w:val="0"/>
        <w:autoSpaceDE/>
        <w:autoSpaceDN/>
        <w:bidi w:val="0"/>
        <w:adjustRightInd w:val="0"/>
        <w:snapToGrid w:val="0"/>
        <w:spacing w:line="300" w:lineRule="auto"/>
        <w:ind w:left="0" w:leftChars="0" w:right="0" w:rightChars="0" w:firstLine="720" w:firstLineChars="3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策略兼容：升级前进行策略检查与风险评估，确保规则更新不影响正常业务访问、不产生大量误拦、不导致网络中断。 </w:t>
      </w:r>
    </w:p>
    <w:p w14:paraId="2363C430">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300" w:right="0" w:rightChars="0" w:firstLine="240" w:firstLineChars="1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 技术支持：提供版本咨询、升级指导、日志分析、故障排查、配置优化等技术支撑服务。 6. 合规要求：服务过程遵守校园网络安全管理规定，不泄露设备配置、网络拓扑、策略规则等敏感信息。</w:t>
      </w:r>
    </w:p>
    <w:p w14:paraId="303F8A45">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（四）项目周期 自合同签订之日起3</w:t>
      </w:r>
      <w:bookmarkStart w:id="0" w:name="_GoBack"/>
      <w:bookmarkEnd w:id="0"/>
      <w:r>
        <w:rPr>
          <w:rFonts w:hint="eastAsia" w:ascii="仿宋_GB2312" w:hAnsi="仿宋_GB2312" w:eastAsia="仿宋_GB2312" w:cs="仿宋_GB2312"/>
          <w:sz w:val="24"/>
          <w:szCs w:val="24"/>
          <w:lang w:val="en-US" w:eastAsia="zh-CN"/>
        </w:rPr>
        <w:t xml:space="preserve"> 年。</w:t>
      </w:r>
    </w:p>
    <w:p w14:paraId="46CC5A0B">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四、采购方式与采购对象 </w:t>
      </w:r>
    </w:p>
    <w:p w14:paraId="2C45AC16">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本项目采用单一来源采购方式，拟定由对应网络安全设备原厂商或原厂授权专属服务提供商作为唯一供应商进行采购。</w:t>
      </w:r>
    </w:p>
    <w:p w14:paraId="7594D87D">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200" w:right="0" w:rightChars="0"/>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五、供应商资格要求 </w:t>
      </w:r>
    </w:p>
    <w:p w14:paraId="2B935A2B">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auto"/>
        <w:ind w:leftChars="200" w:right="0" w:right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具备独立法人资格，经营范围包含网络安全、信息安全、技术服务、安全设备维保、系统升级等相关内容 </w:t>
      </w:r>
    </w:p>
    <w:p w14:paraId="5E50CD45">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auto"/>
        <w:ind w:left="420" w:leftChars="20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为我校现有安全设备的原厂商或具备原厂正式授权的服务提供商，拥有对应产品升级服务授权资质 </w:t>
      </w:r>
    </w:p>
    <w:p w14:paraId="3EB6096E">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auto"/>
        <w:ind w:left="420" w:leftChars="20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熟悉我校安全设备型号、系统版本、防护策略、网络架构及升级流程，能够保证升级兼容、策略可用、功能完整。 </w:t>
      </w:r>
    </w:p>
    <w:p w14:paraId="67680D0E">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auto"/>
        <w:ind w:left="420" w:leftChars="20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具备专业技术支撑团队，具备同类高校网络安全设备升级维保服务经验，具备快速响应和故障处理能力。 </w:t>
      </w:r>
    </w:p>
    <w:p w14:paraId="2D90E61E">
      <w:pPr>
        <w:keepNext w:val="0"/>
        <w:keepLines w:val="0"/>
        <w:pageBreakBefore w:val="0"/>
        <w:widowControl w:val="0"/>
        <w:numPr>
          <w:ilvl w:val="0"/>
          <w:numId w:val="5"/>
        </w:numPr>
        <w:kinsoku/>
        <w:wordWrap/>
        <w:overflowPunct/>
        <w:topLinePunct w:val="0"/>
        <w:autoSpaceDE/>
        <w:autoSpaceDN/>
        <w:bidi w:val="0"/>
        <w:adjustRightInd w:val="0"/>
        <w:snapToGrid w:val="0"/>
        <w:spacing w:line="300" w:lineRule="auto"/>
        <w:ind w:left="420" w:leftChars="200" w:right="0" w:rightChars="0" w:firstLine="0" w:firstLineChars="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具备本地化或远程高效技术支持能力，能够满足学校 7×24 小时应急升级与保障需求。</w:t>
      </w:r>
    </w:p>
    <w:p w14:paraId="73FD32BA">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 xml:space="preserve">六、报价与确定方式 </w:t>
      </w:r>
    </w:p>
    <w:p w14:paraId="4E8DEA3B">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报价要求：供应商提交完整分项报价，总报价为含税闭口价，包含全年所有模块更新许可、规则库升级、病毒库更新、漏洞库更新、软件升级、技术支持、远程服务、税费等合同期内全部费用，合同期内不再收取任何额外费用。</w:t>
      </w:r>
    </w:p>
    <w:p w14:paraId="2342CA60">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（二）确定方式：在完全响应本项目技术标准、升级内容、服务时效、服务周期及合规要求的前提下，双方协商确定合理价格，按单一来源采购流程确定服务单位。</w:t>
      </w:r>
    </w:p>
    <w:p w14:paraId="3CFA17DA">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7801F7E7">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41AD8C3A">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16DBAD23">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06C6C7C5">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3B3BB1D3">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7499B60A">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1B35A6DB">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5EB808C8">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6C63AD69">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56B88126">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395E2D1F">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6BD5D3AE">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4228E1E6">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76179A5D">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281D0818">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6A60363C">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1DE7CC33">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49B9371E">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224BD13C">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6A141F3C">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0CB47E64">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0BA82191">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1AE39A49">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5C35FFF1">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02290387">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523FDE52">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418B6BDD">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0818EBCC">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43BAFB1A">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201116D9">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2A4A21FF">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5BDF602E">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3BDD47A8">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6D39807A">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029AAC33">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15097913">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0D68DA61">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4294501B">
      <w:pPr>
        <w:keepNext w:val="0"/>
        <w:keepLines w:val="0"/>
        <w:pageBreakBefore w:val="0"/>
        <w:widowControl w:val="0"/>
        <w:kinsoku/>
        <w:wordWrap/>
        <w:overflowPunct/>
        <w:topLinePunct w:val="0"/>
        <w:autoSpaceDE/>
        <w:autoSpaceDN/>
        <w:bidi w:val="0"/>
        <w:adjustRightInd w:val="0"/>
        <w:snapToGrid w:val="0"/>
        <w:spacing w:line="300" w:lineRule="auto"/>
        <w:ind w:right="0" w:rightChars="0" w:firstLine="480" w:firstLineChars="200"/>
        <w:textAlignment w:val="auto"/>
        <w:outlineLvl w:val="9"/>
        <w:rPr>
          <w:rFonts w:hint="eastAsia" w:ascii="仿宋_GB2312" w:hAnsi="仿宋_GB2312" w:eastAsia="仿宋_GB2312" w:cs="仿宋_GB2312"/>
          <w:sz w:val="24"/>
          <w:szCs w:val="24"/>
          <w:lang w:val="en-US" w:eastAsia="zh-CN"/>
        </w:rPr>
      </w:pPr>
    </w:p>
    <w:p w14:paraId="7FB815E5">
      <w:pPr>
        <w:spacing w:line="360" w:lineRule="exact"/>
        <w:jc w:val="left"/>
        <w:rPr>
          <w:rFonts w:hint="eastAsia" w:ascii="宋体" w:hAnsi="宋体" w:cs="宋体"/>
          <w:b/>
          <w:sz w:val="32"/>
          <w:szCs w:val="32"/>
          <w:lang w:val="en-US" w:eastAsia="zh-CN"/>
        </w:rPr>
      </w:pPr>
    </w:p>
    <w:p w14:paraId="650B084A">
      <w:pPr>
        <w:spacing w:line="360" w:lineRule="exact"/>
        <w:jc w:val="left"/>
        <w:rPr>
          <w:rFonts w:hint="eastAsia" w:ascii="宋体" w:hAnsi="宋体" w:cs="宋体"/>
          <w:b/>
          <w:sz w:val="32"/>
          <w:szCs w:val="32"/>
          <w:lang w:val="en-US" w:eastAsia="zh-CN"/>
        </w:rPr>
      </w:pPr>
    </w:p>
    <w:p w14:paraId="1545DFAC">
      <w:pPr>
        <w:spacing w:line="360" w:lineRule="exact"/>
        <w:jc w:val="left"/>
        <w:rPr>
          <w:rFonts w:hint="eastAsia" w:ascii="宋体" w:hAnsi="宋体" w:cs="宋体"/>
          <w:b/>
          <w:sz w:val="32"/>
          <w:szCs w:val="32"/>
          <w:lang w:val="en-US" w:eastAsia="zh-CN"/>
        </w:rPr>
      </w:pPr>
    </w:p>
    <w:p w14:paraId="2B77A56A">
      <w:pPr>
        <w:spacing w:line="360" w:lineRule="exact"/>
        <w:jc w:val="left"/>
        <w:rPr>
          <w:rFonts w:hint="eastAsia" w:ascii="宋体" w:hAnsi="宋体" w:cs="宋体"/>
          <w:b/>
          <w:sz w:val="32"/>
          <w:szCs w:val="32"/>
          <w:lang w:val="en-US" w:eastAsia="zh-CN"/>
        </w:rPr>
      </w:pPr>
    </w:p>
    <w:p w14:paraId="2D3AEBB7">
      <w:pPr>
        <w:spacing w:line="360" w:lineRule="exact"/>
        <w:jc w:val="left"/>
        <w:rPr>
          <w:rFonts w:hint="eastAsia" w:ascii="宋体" w:hAnsi="宋体" w:cs="宋体"/>
          <w:b/>
          <w:sz w:val="32"/>
          <w:szCs w:val="32"/>
        </w:rPr>
      </w:pPr>
      <w:r>
        <w:rPr>
          <w:rFonts w:hint="eastAsia" w:ascii="宋体" w:hAnsi="宋体" w:cs="宋体"/>
          <w:b/>
          <w:sz w:val="32"/>
          <w:szCs w:val="32"/>
          <w:lang w:val="en-US" w:eastAsia="zh-CN"/>
        </w:rPr>
        <w:t>附件一：</w:t>
      </w:r>
      <w:r>
        <w:rPr>
          <w:rFonts w:hint="eastAsia" w:ascii="宋体" w:hAnsi="宋体" w:cs="宋体"/>
          <w:b/>
          <w:sz w:val="32"/>
          <w:szCs w:val="32"/>
        </w:rPr>
        <w:t>响应声明函</w:t>
      </w:r>
    </w:p>
    <w:p w14:paraId="2AA3862D">
      <w:pPr>
        <w:adjustRightInd w:val="0"/>
        <w:snapToGrid w:val="0"/>
        <w:spacing w:line="360" w:lineRule="auto"/>
        <w:rPr>
          <w:rFonts w:hint="eastAsia" w:ascii="宋体" w:hAnsi="宋体" w:cs="宋体"/>
          <w:sz w:val="24"/>
          <w:lang w:val="en-US" w:eastAsia="zh-CN"/>
        </w:rPr>
      </w:pPr>
      <w:r>
        <w:rPr>
          <w:rFonts w:hint="eastAsia" w:ascii="宋体" w:hAnsi="宋体" w:cs="宋体"/>
          <w:sz w:val="24"/>
          <w:lang w:val="en-US" w:eastAsia="zh-CN"/>
        </w:rPr>
        <w:t xml:space="preserve"> </w:t>
      </w:r>
    </w:p>
    <w:p w14:paraId="52D0D703">
      <w:pPr>
        <w:pStyle w:val="2"/>
        <w:rPr>
          <w:rFonts w:hint="default"/>
          <w:sz w:val="40"/>
          <w:szCs w:val="28"/>
          <w:lang w:val="en-US" w:eastAsia="zh-CN"/>
        </w:rPr>
      </w:pPr>
      <w:r>
        <w:rPr>
          <w:rFonts w:hint="eastAsia" w:ascii="宋体" w:hAnsi="宋体" w:cs="宋体"/>
          <w:sz w:val="40"/>
          <w:szCs w:val="28"/>
          <w:lang w:val="en-US" w:eastAsia="zh-CN"/>
        </w:rPr>
        <w:t>响应声明函</w:t>
      </w:r>
    </w:p>
    <w:p w14:paraId="59075DA9">
      <w:pPr>
        <w:adjustRightInd w:val="0"/>
        <w:snapToGrid w:val="0"/>
        <w:spacing w:line="360" w:lineRule="exact"/>
        <w:rPr>
          <w:rFonts w:hint="eastAsia" w:ascii="宋体" w:hAnsi="宋体" w:cs="宋体"/>
          <w:sz w:val="30"/>
          <w:szCs w:val="30"/>
        </w:rPr>
      </w:pPr>
      <w:r>
        <w:rPr>
          <w:rFonts w:hint="eastAsia" w:ascii="宋体" w:hAnsi="宋体" w:cs="宋体"/>
          <w:sz w:val="30"/>
          <w:szCs w:val="30"/>
        </w:rPr>
        <w:t>致 (采购人)：</w:t>
      </w:r>
    </w:p>
    <w:p w14:paraId="77F4DF62">
      <w:pPr>
        <w:pStyle w:val="2"/>
        <w:rPr>
          <w:rFonts w:hint="eastAsia"/>
          <w:sz w:val="30"/>
          <w:szCs w:val="30"/>
        </w:rPr>
      </w:pPr>
    </w:p>
    <w:p w14:paraId="207B3EDB">
      <w:pPr>
        <w:adjustRightInd w:val="0"/>
        <w:snapToGrid w:val="0"/>
        <w:spacing w:line="360" w:lineRule="exact"/>
        <w:ind w:firstLine="600" w:firstLineChars="200"/>
        <w:rPr>
          <w:rFonts w:hint="eastAsia" w:ascii="宋体" w:hAnsi="宋体" w:cs="宋体"/>
          <w:sz w:val="30"/>
          <w:szCs w:val="30"/>
        </w:rPr>
      </w:pPr>
      <w:r>
        <w:rPr>
          <w:rFonts w:hint="eastAsia" w:ascii="宋体" w:hAnsi="宋体" w:cs="宋体"/>
          <w:sz w:val="30"/>
          <w:szCs w:val="30"/>
        </w:rPr>
        <w:t>我方已仔细研究了</w:t>
      </w:r>
      <w:r>
        <w:rPr>
          <w:rFonts w:hint="eastAsia" w:ascii="宋体" w:hAnsi="宋体" w:cs="宋体"/>
          <w:sz w:val="30"/>
          <w:szCs w:val="30"/>
          <w:u w:val="single"/>
        </w:rPr>
        <w:t xml:space="preserve">                 (</w:t>
      </w:r>
      <w:r>
        <w:rPr>
          <w:rFonts w:hint="eastAsia" w:ascii="宋体" w:hAnsi="宋体" w:cs="宋体"/>
          <w:sz w:val="30"/>
          <w:szCs w:val="30"/>
        </w:rPr>
        <w:t>项目名称)的</w:t>
      </w:r>
      <w:r>
        <w:rPr>
          <w:rFonts w:hint="eastAsia" w:ascii="宋体" w:hAnsi="宋体" w:cs="宋体"/>
          <w:sz w:val="30"/>
          <w:szCs w:val="30"/>
          <w:lang w:val="en-US" w:eastAsia="zh-CN"/>
        </w:rPr>
        <w:t>议价</w:t>
      </w:r>
      <w:r>
        <w:rPr>
          <w:rFonts w:hint="eastAsia" w:ascii="宋体" w:hAnsi="宋体" w:cs="宋体"/>
          <w:sz w:val="30"/>
          <w:szCs w:val="30"/>
        </w:rPr>
        <w:t xml:space="preserve">文件（采购编号：  </w:t>
      </w:r>
      <w:r>
        <w:rPr>
          <w:rFonts w:hint="eastAsia" w:ascii="宋体" w:hAnsi="宋体" w:cs="宋体"/>
          <w:sz w:val="30"/>
          <w:szCs w:val="30"/>
          <w:lang w:val="en-US" w:eastAsia="zh-CN"/>
        </w:rPr>
        <w:t>/</w:t>
      </w:r>
      <w:r>
        <w:rPr>
          <w:rFonts w:hint="eastAsia" w:ascii="宋体" w:hAnsi="宋体" w:cs="宋体"/>
          <w:sz w:val="30"/>
          <w:szCs w:val="30"/>
        </w:rPr>
        <w:t xml:space="preserve">   ）的全部内容，知悉参加</w:t>
      </w:r>
      <w:r>
        <w:rPr>
          <w:rFonts w:hint="eastAsia" w:ascii="宋体" w:hAnsi="宋体" w:cs="宋体"/>
          <w:sz w:val="30"/>
          <w:szCs w:val="30"/>
          <w:lang w:val="en-US" w:eastAsia="zh-CN"/>
        </w:rPr>
        <w:t>议</w:t>
      </w:r>
      <w:r>
        <w:rPr>
          <w:rFonts w:hint="eastAsia" w:ascii="宋体" w:hAnsi="宋体" w:cs="宋体"/>
          <w:sz w:val="30"/>
          <w:szCs w:val="30"/>
        </w:rPr>
        <w:t>价的风险，我方承诺接受</w:t>
      </w:r>
      <w:r>
        <w:rPr>
          <w:rFonts w:hint="eastAsia" w:ascii="宋体" w:hAnsi="宋体" w:cs="宋体"/>
          <w:sz w:val="30"/>
          <w:szCs w:val="30"/>
          <w:lang w:eastAsia="zh-CN"/>
        </w:rPr>
        <w:t>议</w:t>
      </w:r>
      <w:r>
        <w:rPr>
          <w:rFonts w:hint="eastAsia" w:ascii="宋体" w:hAnsi="宋体" w:cs="宋体"/>
          <w:sz w:val="30"/>
          <w:szCs w:val="30"/>
        </w:rPr>
        <w:t>价文件的全部条款且无任何异议。</w:t>
      </w:r>
    </w:p>
    <w:p w14:paraId="5D42FB27">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一、我方提交响应文件一份，并保证响应文件提供的数据和资料全部内容真实、合法、准确和完整，我们对此负责，并愿承担由此引起的法律责任。</w:t>
      </w:r>
    </w:p>
    <w:p w14:paraId="4B421E3D">
      <w:pPr>
        <w:pStyle w:val="5"/>
        <w:adjustRightInd w:val="0"/>
        <w:snapToGrid w:val="0"/>
        <w:spacing w:line="360" w:lineRule="exact"/>
        <w:ind w:firstLine="600" w:firstLineChars="200"/>
        <w:rPr>
          <w:rFonts w:hint="eastAsia" w:hAnsi="宋体" w:cs="宋体"/>
          <w:sz w:val="30"/>
          <w:szCs w:val="30"/>
          <w:lang w:eastAsia="zh-CN"/>
        </w:rPr>
      </w:pPr>
      <w:r>
        <w:rPr>
          <w:rFonts w:hint="eastAsia" w:hAnsi="宋体" w:cs="宋体"/>
          <w:sz w:val="30"/>
          <w:szCs w:val="30"/>
          <w:lang w:eastAsia="zh-CN"/>
        </w:rPr>
        <w:t>二</w:t>
      </w:r>
      <w:r>
        <w:rPr>
          <w:rFonts w:hint="eastAsia" w:hAnsi="宋体" w:cs="宋体"/>
          <w:sz w:val="30"/>
          <w:szCs w:val="30"/>
        </w:rPr>
        <w:t>、我方愿意向贵方提供任何与本项采购有关的数据、情况和技术资料。若贵方需要，我方愿意提供我方作出的一切承诺的证明资料。</w:t>
      </w:r>
    </w:p>
    <w:p w14:paraId="194BDE4C">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lang w:eastAsia="zh-CN"/>
        </w:rPr>
        <w:t>三</w:t>
      </w:r>
      <w:r>
        <w:rPr>
          <w:rFonts w:hint="eastAsia" w:hAnsi="宋体" w:cs="宋体"/>
          <w:sz w:val="30"/>
          <w:szCs w:val="30"/>
        </w:rPr>
        <w:t>、我方承诺遵守《中华人民共和国政府采购法》的有关规定，保证在获得成交资格后，按照</w:t>
      </w:r>
      <w:r>
        <w:rPr>
          <w:rFonts w:hint="eastAsia" w:hAnsi="宋体" w:cs="宋体"/>
          <w:sz w:val="30"/>
          <w:szCs w:val="30"/>
          <w:lang w:eastAsia="zh-CN"/>
        </w:rPr>
        <w:t>议</w:t>
      </w:r>
      <w:r>
        <w:rPr>
          <w:rFonts w:hint="eastAsia" w:hAnsi="宋体" w:cs="宋体"/>
          <w:sz w:val="30"/>
          <w:szCs w:val="30"/>
        </w:rPr>
        <w:t>价文件确定的事项签订采购合同，履行双方所签订的合同，并承担合同规定的责任和义务。</w:t>
      </w:r>
    </w:p>
    <w:p w14:paraId="6B037873">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lang w:eastAsia="zh-CN"/>
        </w:rPr>
        <w:t>四</w:t>
      </w:r>
      <w:r>
        <w:rPr>
          <w:rFonts w:hint="eastAsia" w:hAnsi="宋体" w:cs="宋体"/>
          <w:sz w:val="30"/>
          <w:szCs w:val="30"/>
        </w:rPr>
        <w:t xml:space="preserve">、我方在此声明： </w:t>
      </w:r>
    </w:p>
    <w:p w14:paraId="5441A339">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我方承诺（承诺期：成立三年以上的，为提交首次响应文件截止时间前三年内；成立不足三年的，为实际时间）：</w:t>
      </w:r>
    </w:p>
    <w:p w14:paraId="447569DF">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1、我方依法缴纳了各项税费及各项社会保障资金，没有偷税、漏税及欠缴行为。</w:t>
      </w:r>
    </w:p>
    <w:p w14:paraId="43E14E82">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2、我方在经营活动中没有存在下列重大违法记录：</w:t>
      </w:r>
    </w:p>
    <w:p w14:paraId="1F345275">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(1)受到刑事处罚；</w:t>
      </w:r>
    </w:p>
    <w:p w14:paraId="28004FAD">
      <w:pPr>
        <w:pStyle w:val="5"/>
        <w:adjustRightInd w:val="0"/>
        <w:snapToGrid w:val="0"/>
        <w:spacing w:line="360" w:lineRule="exact"/>
        <w:ind w:firstLine="600" w:firstLineChars="200"/>
        <w:rPr>
          <w:rFonts w:hint="eastAsia" w:hAnsi="宋体" w:cs="宋体"/>
          <w:sz w:val="30"/>
          <w:szCs w:val="30"/>
        </w:rPr>
      </w:pPr>
      <w:r>
        <w:rPr>
          <w:rFonts w:hint="eastAsia" w:hAnsi="宋体" w:cs="宋体"/>
          <w:sz w:val="30"/>
          <w:szCs w:val="30"/>
        </w:rPr>
        <w:t>(2)受到三万元以上的罚款、责令停产停业、在一至三年内禁止参加政府采购活动、暂扣或者吊销许可证、暂扣或者吊销执照的行政处罚。</w:t>
      </w:r>
    </w:p>
    <w:p w14:paraId="477AE3F8">
      <w:pPr>
        <w:pStyle w:val="5"/>
        <w:adjustRightInd w:val="0"/>
        <w:snapToGrid w:val="0"/>
        <w:spacing w:line="360" w:lineRule="exact"/>
        <w:rPr>
          <w:rFonts w:hint="eastAsia" w:hAnsi="宋体" w:cs="宋体"/>
          <w:sz w:val="30"/>
          <w:szCs w:val="30"/>
        </w:rPr>
      </w:pPr>
    </w:p>
    <w:p w14:paraId="4CADCD20">
      <w:pPr>
        <w:pStyle w:val="5"/>
        <w:adjustRightInd w:val="0"/>
        <w:snapToGrid w:val="0"/>
        <w:spacing w:line="360" w:lineRule="exact"/>
        <w:ind w:firstLine="1500" w:firstLineChars="500"/>
        <w:rPr>
          <w:rFonts w:hint="default" w:hAnsi="宋体" w:eastAsia="宋体" w:cs="宋体"/>
          <w:sz w:val="30"/>
          <w:szCs w:val="30"/>
          <w:lang w:val="en-US" w:eastAsia="zh-CN"/>
        </w:rPr>
      </w:pPr>
      <w:r>
        <w:rPr>
          <w:rFonts w:hint="eastAsia" w:hAnsi="宋体" w:cs="宋体"/>
          <w:sz w:val="30"/>
          <w:szCs w:val="30"/>
          <w:lang w:val="en-US" w:eastAsia="zh-CN"/>
        </w:rPr>
        <w:t>特此声明！</w:t>
      </w:r>
    </w:p>
    <w:p w14:paraId="4E969DF7">
      <w:pPr>
        <w:pStyle w:val="5"/>
        <w:adjustRightInd w:val="0"/>
        <w:snapToGrid w:val="0"/>
        <w:spacing w:line="360" w:lineRule="exact"/>
        <w:rPr>
          <w:rFonts w:hint="eastAsia" w:hAnsi="宋体" w:cs="宋体"/>
          <w:sz w:val="30"/>
          <w:szCs w:val="30"/>
        </w:rPr>
      </w:pPr>
    </w:p>
    <w:p w14:paraId="7C54ECE5">
      <w:pPr>
        <w:pStyle w:val="5"/>
        <w:adjustRightInd w:val="0"/>
        <w:snapToGrid w:val="0"/>
        <w:spacing w:line="360" w:lineRule="exact"/>
        <w:rPr>
          <w:rFonts w:hint="eastAsia" w:hAnsi="宋体" w:cs="宋体"/>
          <w:sz w:val="30"/>
          <w:szCs w:val="30"/>
        </w:rPr>
      </w:pPr>
    </w:p>
    <w:p w14:paraId="6DE3EF29">
      <w:pPr>
        <w:pStyle w:val="5"/>
        <w:adjustRightInd w:val="0"/>
        <w:snapToGrid w:val="0"/>
        <w:spacing w:line="360" w:lineRule="exact"/>
        <w:rPr>
          <w:rFonts w:hint="eastAsia" w:hAnsi="宋体" w:cs="宋体"/>
          <w:sz w:val="30"/>
          <w:szCs w:val="30"/>
        </w:rPr>
      </w:pPr>
    </w:p>
    <w:p w14:paraId="6EB6ADF3">
      <w:pPr>
        <w:pStyle w:val="5"/>
        <w:adjustRightInd w:val="0"/>
        <w:snapToGrid w:val="0"/>
        <w:spacing w:line="360" w:lineRule="exact"/>
        <w:rPr>
          <w:rFonts w:hint="eastAsia" w:hAnsi="宋体" w:cs="宋体"/>
          <w:sz w:val="30"/>
          <w:szCs w:val="30"/>
        </w:rPr>
      </w:pPr>
    </w:p>
    <w:p w14:paraId="3A4350FC">
      <w:pPr>
        <w:pStyle w:val="5"/>
        <w:adjustRightInd w:val="0"/>
        <w:snapToGrid w:val="0"/>
        <w:spacing w:line="360" w:lineRule="exact"/>
        <w:rPr>
          <w:rFonts w:hint="eastAsia" w:hAnsi="宋体" w:cs="宋体"/>
          <w:sz w:val="30"/>
          <w:szCs w:val="30"/>
        </w:rPr>
      </w:pPr>
    </w:p>
    <w:p w14:paraId="10933E37">
      <w:pPr>
        <w:pStyle w:val="5"/>
        <w:adjustRightInd w:val="0"/>
        <w:snapToGrid w:val="0"/>
        <w:spacing w:line="360" w:lineRule="exact"/>
        <w:rPr>
          <w:rFonts w:hint="eastAsia" w:hAnsi="宋体" w:cs="宋体"/>
          <w:sz w:val="30"/>
          <w:szCs w:val="30"/>
        </w:rPr>
      </w:pPr>
    </w:p>
    <w:p w14:paraId="101BC924">
      <w:pPr>
        <w:pStyle w:val="5"/>
        <w:adjustRightInd w:val="0"/>
        <w:snapToGrid w:val="0"/>
        <w:spacing w:line="360" w:lineRule="exact"/>
        <w:rPr>
          <w:rFonts w:hint="eastAsia" w:hAnsi="宋体" w:cs="宋体"/>
          <w:sz w:val="30"/>
          <w:szCs w:val="30"/>
        </w:rPr>
      </w:pPr>
    </w:p>
    <w:p w14:paraId="3A332038">
      <w:pPr>
        <w:pStyle w:val="5"/>
        <w:adjustRightInd w:val="0"/>
        <w:snapToGrid w:val="0"/>
        <w:spacing w:line="360" w:lineRule="exact"/>
        <w:rPr>
          <w:rFonts w:hint="eastAsia" w:hAnsi="宋体" w:cs="宋体"/>
          <w:sz w:val="30"/>
          <w:szCs w:val="30"/>
        </w:rPr>
      </w:pPr>
    </w:p>
    <w:p w14:paraId="229214BC">
      <w:pPr>
        <w:pStyle w:val="5"/>
        <w:adjustRightInd w:val="0"/>
        <w:snapToGrid w:val="0"/>
        <w:spacing w:line="360" w:lineRule="exact"/>
        <w:ind w:left="8820" w:leftChars="0" w:firstLine="420" w:firstLineChars="0"/>
        <w:rPr>
          <w:rFonts w:hint="eastAsia" w:hAnsi="宋体" w:cs="宋体"/>
          <w:sz w:val="30"/>
          <w:szCs w:val="30"/>
        </w:rPr>
      </w:pPr>
      <w:r>
        <w:rPr>
          <w:rFonts w:hint="eastAsia" w:hAnsi="宋体" w:cs="宋体"/>
          <w:sz w:val="30"/>
          <w:szCs w:val="30"/>
        </w:rPr>
        <w:t>供应商名称(盖单位章)：</w:t>
      </w:r>
    </w:p>
    <w:p w14:paraId="341A7456">
      <w:pPr>
        <w:pStyle w:val="5"/>
        <w:adjustRightInd w:val="0"/>
        <w:snapToGrid w:val="0"/>
        <w:spacing w:line="360" w:lineRule="exact"/>
        <w:rPr>
          <w:rFonts w:hint="eastAsia" w:hAnsi="宋体" w:cs="宋体"/>
          <w:sz w:val="30"/>
          <w:szCs w:val="30"/>
        </w:rPr>
      </w:pPr>
    </w:p>
    <w:p w14:paraId="030A98FD">
      <w:pPr>
        <w:adjustRightInd w:val="0"/>
        <w:snapToGrid w:val="0"/>
        <w:spacing w:line="360" w:lineRule="exact"/>
        <w:ind w:left="8820" w:leftChars="0" w:firstLine="420" w:firstLineChars="0"/>
        <w:rPr>
          <w:rFonts w:hint="eastAsia" w:ascii="宋体" w:hAnsi="宋体" w:cs="宋体"/>
          <w:sz w:val="30"/>
          <w:szCs w:val="30"/>
        </w:rPr>
      </w:pPr>
      <w:r>
        <w:rPr>
          <w:rFonts w:hint="eastAsia" w:ascii="宋体" w:hAnsi="宋体" w:cs="宋体"/>
          <w:sz w:val="30"/>
          <w:szCs w:val="30"/>
        </w:rPr>
        <w:t>日     期：</w:t>
      </w:r>
      <w:r>
        <w:rPr>
          <w:rFonts w:hint="eastAsia" w:ascii="宋体" w:hAnsi="宋体" w:cs="宋体"/>
          <w:sz w:val="30"/>
          <w:szCs w:val="30"/>
          <w:u w:val="single"/>
          <w:lang w:val="en-US" w:eastAsia="zh-CN"/>
        </w:rPr>
        <w:t xml:space="preserve">      </w:t>
      </w:r>
      <w:r>
        <w:rPr>
          <w:rFonts w:hint="eastAsia" w:ascii="宋体" w:hAnsi="宋体" w:cs="宋体"/>
          <w:sz w:val="30"/>
          <w:szCs w:val="30"/>
        </w:rPr>
        <w:t>年</w:t>
      </w:r>
      <w:r>
        <w:rPr>
          <w:rFonts w:hint="eastAsia" w:ascii="宋体" w:hAnsi="宋体" w:cs="宋体"/>
          <w:sz w:val="30"/>
          <w:szCs w:val="30"/>
          <w:u w:val="single"/>
          <w:lang w:val="en-US" w:eastAsia="zh-CN"/>
        </w:rPr>
        <w:t xml:space="preserve">     </w:t>
      </w:r>
      <w:r>
        <w:rPr>
          <w:rFonts w:hint="eastAsia" w:ascii="宋体" w:hAnsi="宋体" w:cs="宋体"/>
          <w:sz w:val="30"/>
          <w:szCs w:val="30"/>
        </w:rPr>
        <w:t>月</w:t>
      </w:r>
      <w:r>
        <w:rPr>
          <w:rFonts w:hint="eastAsia" w:ascii="宋体" w:hAnsi="宋体" w:cs="宋体"/>
          <w:sz w:val="30"/>
          <w:szCs w:val="30"/>
          <w:u w:val="single"/>
          <w:lang w:val="en-US" w:eastAsia="zh-CN"/>
        </w:rPr>
        <w:t xml:space="preserve">      </w:t>
      </w:r>
      <w:r>
        <w:rPr>
          <w:rFonts w:hint="eastAsia" w:ascii="宋体" w:hAnsi="宋体" w:cs="宋体"/>
          <w:sz w:val="30"/>
          <w:szCs w:val="30"/>
        </w:rPr>
        <w:t>日</w:t>
      </w:r>
    </w:p>
    <w:p w14:paraId="518BCB1E">
      <w:pPr>
        <w:jc w:val="center"/>
        <w:rPr>
          <w:rFonts w:hint="eastAsia"/>
          <w:b/>
          <w:sz w:val="44"/>
          <w:szCs w:val="44"/>
        </w:rPr>
      </w:pPr>
      <w:r>
        <w:rPr>
          <w:rFonts w:hint="default"/>
          <w:lang w:val="en-US" w:eastAsia="zh-CN"/>
        </w:rPr>
        <w:br w:type="page"/>
      </w:r>
      <w:r>
        <w:rPr>
          <w:rFonts w:hint="eastAsia"/>
          <w:b/>
          <w:sz w:val="44"/>
          <w:szCs w:val="44"/>
        </w:rPr>
        <w:t>招标采购廉政承诺书</w:t>
      </w:r>
    </w:p>
    <w:p w14:paraId="659FD36B">
      <w:pPr>
        <w:jc w:val="center"/>
        <w:rPr>
          <w:rFonts w:hint="eastAsia"/>
          <w:b/>
          <w:sz w:val="44"/>
          <w:szCs w:val="44"/>
        </w:rPr>
      </w:pPr>
    </w:p>
    <w:p w14:paraId="6BC691FD">
      <w:pPr>
        <w:ind w:firstLine="420" w:firstLineChars="150"/>
        <w:rPr>
          <w:rFonts w:hint="eastAsia"/>
          <w:sz w:val="28"/>
          <w:szCs w:val="28"/>
        </w:rPr>
      </w:pPr>
      <w:r>
        <w:rPr>
          <w:rFonts w:hint="eastAsia"/>
          <w:sz w:val="28"/>
          <w:szCs w:val="28"/>
        </w:rPr>
        <w:t>为加强廉洁自律，维护学校整体利益，本人承诺：</w:t>
      </w:r>
    </w:p>
    <w:p w14:paraId="2C8CD047">
      <w:pPr>
        <w:ind w:firstLine="420" w:firstLineChars="150"/>
        <w:rPr>
          <w:rFonts w:hint="eastAsia"/>
          <w:sz w:val="28"/>
          <w:szCs w:val="28"/>
        </w:rPr>
      </w:pPr>
      <w:r>
        <w:rPr>
          <w:rFonts w:hint="eastAsia"/>
          <w:sz w:val="28"/>
          <w:szCs w:val="28"/>
        </w:rPr>
        <w:t>一、自觉遵守国家关于物资采购的法律法规和廉政建设各项规定。</w:t>
      </w:r>
    </w:p>
    <w:p w14:paraId="439D1B44">
      <w:pPr>
        <w:ind w:firstLine="420" w:firstLineChars="150"/>
        <w:rPr>
          <w:rFonts w:hint="eastAsia"/>
          <w:sz w:val="28"/>
          <w:szCs w:val="28"/>
        </w:rPr>
      </w:pPr>
      <w:r>
        <w:rPr>
          <w:rFonts w:hint="eastAsia"/>
          <w:sz w:val="28"/>
          <w:szCs w:val="28"/>
        </w:rPr>
        <w:t>二、严格执行学校物资采购制度、遵守学校财经纪律。</w:t>
      </w:r>
    </w:p>
    <w:p w14:paraId="146C9C25">
      <w:pPr>
        <w:ind w:firstLine="420" w:firstLineChars="150"/>
        <w:rPr>
          <w:rFonts w:hint="eastAsia" w:eastAsia="宋体"/>
          <w:sz w:val="28"/>
          <w:szCs w:val="28"/>
          <w:lang w:eastAsia="zh-CN"/>
        </w:rPr>
      </w:pPr>
      <w:r>
        <w:rPr>
          <w:rFonts w:hint="eastAsia"/>
          <w:sz w:val="28"/>
          <w:szCs w:val="28"/>
        </w:rPr>
        <w:t>三、</w:t>
      </w:r>
      <w:r>
        <w:rPr>
          <w:rFonts w:hint="eastAsia"/>
          <w:sz w:val="28"/>
          <w:szCs w:val="28"/>
          <w:lang w:eastAsia="zh-CN"/>
        </w:rPr>
        <w:t>不向投标人或任何第三方泄露招投标活动中的秘密及任何细节问题。</w:t>
      </w:r>
    </w:p>
    <w:p w14:paraId="0926E548">
      <w:pPr>
        <w:ind w:firstLine="420" w:firstLineChars="150"/>
        <w:rPr>
          <w:rFonts w:hint="eastAsia" w:eastAsia="宋体"/>
          <w:sz w:val="28"/>
          <w:szCs w:val="28"/>
          <w:lang w:eastAsia="zh-CN"/>
        </w:rPr>
      </w:pPr>
      <w:r>
        <w:rPr>
          <w:rFonts w:hint="eastAsia"/>
          <w:sz w:val="28"/>
          <w:szCs w:val="28"/>
          <w:lang w:eastAsia="zh-CN"/>
        </w:rPr>
        <w:t>四、在评标过程中，不做任何旨在影响招标结果公正性的带有倾向性的发言；不影响或阻碍其他专家评委的正常发言。</w:t>
      </w:r>
    </w:p>
    <w:p w14:paraId="07B2AFE9">
      <w:pPr>
        <w:ind w:firstLine="420" w:firstLineChars="150"/>
        <w:rPr>
          <w:rFonts w:hint="eastAsia"/>
          <w:sz w:val="28"/>
          <w:szCs w:val="28"/>
          <w:lang w:eastAsia="zh-CN"/>
        </w:rPr>
      </w:pPr>
      <w:r>
        <w:rPr>
          <w:rFonts w:hint="eastAsia"/>
          <w:sz w:val="28"/>
          <w:szCs w:val="28"/>
          <w:lang w:eastAsia="zh-CN"/>
        </w:rPr>
        <w:t>五</w:t>
      </w:r>
      <w:r>
        <w:rPr>
          <w:rFonts w:hint="eastAsia"/>
          <w:sz w:val="28"/>
          <w:szCs w:val="28"/>
        </w:rPr>
        <w:t>、不以任何形式向</w:t>
      </w:r>
      <w:r>
        <w:rPr>
          <w:rFonts w:hint="eastAsia"/>
          <w:sz w:val="28"/>
          <w:szCs w:val="28"/>
          <w:lang w:eastAsia="zh-CN"/>
        </w:rPr>
        <w:t>投标、中标</w:t>
      </w:r>
      <w:r>
        <w:rPr>
          <w:rFonts w:hint="eastAsia"/>
          <w:sz w:val="28"/>
          <w:szCs w:val="28"/>
        </w:rPr>
        <w:t>单位索要和接受回扣、礼品礼金、有价证券、贵重物品或其他好处</w:t>
      </w:r>
      <w:r>
        <w:rPr>
          <w:rFonts w:hint="eastAsia"/>
          <w:sz w:val="28"/>
          <w:szCs w:val="28"/>
          <w:lang w:eastAsia="zh-CN"/>
        </w:rPr>
        <w:t>，</w:t>
      </w:r>
      <w:r>
        <w:rPr>
          <w:rFonts w:hint="eastAsia"/>
          <w:sz w:val="28"/>
          <w:szCs w:val="28"/>
        </w:rPr>
        <w:t>不以任何形式</w:t>
      </w:r>
      <w:r>
        <w:rPr>
          <w:rFonts w:hint="eastAsia"/>
          <w:sz w:val="28"/>
          <w:szCs w:val="28"/>
          <w:lang w:eastAsia="zh-CN"/>
        </w:rPr>
        <w:t>由投标、中标单位</w:t>
      </w:r>
      <w:r>
        <w:rPr>
          <w:rFonts w:hint="eastAsia"/>
          <w:sz w:val="28"/>
          <w:szCs w:val="28"/>
        </w:rPr>
        <w:t>报销由本人支付的费用</w:t>
      </w:r>
      <w:r>
        <w:rPr>
          <w:rFonts w:hint="eastAsia"/>
          <w:sz w:val="28"/>
          <w:szCs w:val="28"/>
          <w:lang w:eastAsia="zh-CN"/>
        </w:rPr>
        <w:t>。</w:t>
      </w:r>
    </w:p>
    <w:p w14:paraId="2F81DC0B">
      <w:pPr>
        <w:ind w:firstLine="700" w:firstLineChars="250"/>
        <w:rPr>
          <w:rFonts w:hint="eastAsia"/>
          <w:sz w:val="28"/>
          <w:szCs w:val="28"/>
        </w:rPr>
      </w:pPr>
      <w:r>
        <w:rPr>
          <w:rFonts w:hint="eastAsia"/>
          <w:sz w:val="28"/>
          <w:szCs w:val="28"/>
          <w:lang w:eastAsia="zh-CN"/>
        </w:rPr>
        <w:t>六</w:t>
      </w:r>
      <w:r>
        <w:rPr>
          <w:rFonts w:hint="eastAsia"/>
          <w:sz w:val="28"/>
          <w:szCs w:val="28"/>
        </w:rPr>
        <w:t>、</w:t>
      </w:r>
      <w:r>
        <w:rPr>
          <w:rFonts w:hint="eastAsia"/>
          <w:sz w:val="28"/>
          <w:szCs w:val="28"/>
          <w:lang w:eastAsia="zh-CN"/>
        </w:rPr>
        <w:t>不与投标、中标单位及其工作人员私下接触、</w:t>
      </w:r>
      <w:r>
        <w:rPr>
          <w:rFonts w:hint="eastAsia"/>
          <w:sz w:val="28"/>
          <w:szCs w:val="28"/>
        </w:rPr>
        <w:t>参</w:t>
      </w:r>
      <w:r>
        <w:rPr>
          <w:rFonts w:hint="eastAsia"/>
          <w:sz w:val="28"/>
          <w:szCs w:val="28"/>
          <w:lang w:eastAsia="zh-CN"/>
        </w:rPr>
        <w:t>与</w:t>
      </w:r>
      <w:r>
        <w:rPr>
          <w:rFonts w:hint="eastAsia"/>
          <w:sz w:val="28"/>
          <w:szCs w:val="28"/>
        </w:rPr>
        <w:t>宴会</w:t>
      </w:r>
      <w:r>
        <w:rPr>
          <w:rFonts w:hint="eastAsia"/>
          <w:sz w:val="28"/>
          <w:szCs w:val="28"/>
          <w:lang w:eastAsia="zh-CN"/>
        </w:rPr>
        <w:t>和</w:t>
      </w:r>
      <w:r>
        <w:rPr>
          <w:rFonts w:hint="eastAsia"/>
          <w:sz w:val="28"/>
          <w:szCs w:val="28"/>
        </w:rPr>
        <w:t>健身、旅游等活动。</w:t>
      </w:r>
    </w:p>
    <w:p w14:paraId="74212130">
      <w:pPr>
        <w:ind w:firstLine="700" w:firstLineChars="250"/>
        <w:rPr>
          <w:sz w:val="28"/>
          <w:szCs w:val="28"/>
        </w:rPr>
      </w:pPr>
      <w:r>
        <w:rPr>
          <w:rFonts w:hint="eastAsia" w:eastAsia="宋体"/>
          <w:sz w:val="28"/>
          <w:szCs w:val="28"/>
          <w:lang w:eastAsia="zh-CN"/>
        </w:rPr>
        <w:t>七、</w:t>
      </w:r>
      <w:r>
        <w:rPr>
          <w:rFonts w:hint="default" w:ascii="Segoe UI" w:hAnsi="Segoe UI" w:eastAsia="Segoe UI" w:cs="Segoe UI"/>
          <w:i w:val="0"/>
          <w:iCs w:val="0"/>
          <w:caps w:val="0"/>
          <w:spacing w:val="0"/>
          <w:sz w:val="28"/>
          <w:szCs w:val="28"/>
          <w:shd w:val="clear" w:color="auto" w:fill="FFFFFF"/>
        </w:rPr>
        <w:t>主动申报与供应商的关联关系，如有配偶、子女</w:t>
      </w:r>
      <w:r>
        <w:rPr>
          <w:rFonts w:hint="eastAsia" w:ascii="Segoe UI" w:hAnsi="Segoe UI" w:eastAsia="宋体" w:cs="Segoe UI"/>
          <w:i w:val="0"/>
          <w:iCs w:val="0"/>
          <w:caps w:val="0"/>
          <w:spacing w:val="0"/>
          <w:sz w:val="28"/>
          <w:szCs w:val="28"/>
          <w:shd w:val="clear" w:color="auto" w:fill="FFFFFF"/>
          <w:lang w:eastAsia="zh-CN"/>
        </w:rPr>
        <w:t>和其他关系紧密者</w:t>
      </w:r>
      <w:r>
        <w:rPr>
          <w:rFonts w:hint="default" w:ascii="Segoe UI" w:hAnsi="Segoe UI" w:eastAsia="Segoe UI" w:cs="Segoe UI"/>
          <w:i w:val="0"/>
          <w:iCs w:val="0"/>
          <w:caps w:val="0"/>
          <w:spacing w:val="0"/>
          <w:sz w:val="28"/>
          <w:szCs w:val="28"/>
          <w:shd w:val="clear" w:color="auto" w:fill="FFFFFF"/>
        </w:rPr>
        <w:t>等参与投标，立即申请回避。</w:t>
      </w:r>
    </w:p>
    <w:p w14:paraId="6E9F1290">
      <w:pPr>
        <w:ind w:firstLine="840" w:firstLineChars="300"/>
        <w:rPr>
          <w:rFonts w:hint="eastAsia"/>
          <w:sz w:val="28"/>
          <w:szCs w:val="28"/>
        </w:rPr>
      </w:pPr>
      <w:r>
        <w:rPr>
          <w:rFonts w:hint="eastAsia"/>
          <w:sz w:val="28"/>
          <w:szCs w:val="28"/>
          <w:lang w:eastAsia="zh-CN"/>
        </w:rPr>
        <w:t>八</w:t>
      </w:r>
      <w:r>
        <w:rPr>
          <w:rFonts w:hint="eastAsia"/>
          <w:sz w:val="28"/>
          <w:szCs w:val="28"/>
        </w:rPr>
        <w:t>、不发生其它谋取不正当利益的行为。</w:t>
      </w:r>
    </w:p>
    <w:p w14:paraId="6F73B572">
      <w:pPr>
        <w:ind w:firstLine="420" w:firstLineChars="150"/>
        <w:rPr>
          <w:rFonts w:hint="eastAsia"/>
          <w:sz w:val="28"/>
          <w:szCs w:val="28"/>
        </w:rPr>
      </w:pPr>
      <w:r>
        <w:rPr>
          <w:rFonts w:hint="eastAsia"/>
          <w:sz w:val="28"/>
          <w:szCs w:val="28"/>
        </w:rPr>
        <w:t>若有违反上述承诺的行为，本人愿意接受组织处理或追究法律责任。</w:t>
      </w:r>
    </w:p>
    <w:p w14:paraId="782A497F">
      <w:pPr>
        <w:rPr>
          <w:rFonts w:hint="eastAsia"/>
          <w:sz w:val="28"/>
          <w:szCs w:val="28"/>
        </w:rPr>
      </w:pPr>
    </w:p>
    <w:p w14:paraId="34FE7D5F">
      <w:pPr>
        <w:rPr>
          <w:rFonts w:hint="eastAsia"/>
          <w:sz w:val="28"/>
          <w:szCs w:val="28"/>
        </w:rPr>
      </w:pPr>
    </w:p>
    <w:p w14:paraId="6B8939AB">
      <w:pPr>
        <w:rPr>
          <w:rFonts w:hint="eastAsia"/>
          <w:sz w:val="28"/>
          <w:szCs w:val="28"/>
        </w:rPr>
      </w:pPr>
    </w:p>
    <w:p w14:paraId="7D512763">
      <w:pPr>
        <w:rPr>
          <w:rFonts w:hint="eastAsia"/>
          <w:sz w:val="28"/>
          <w:szCs w:val="28"/>
        </w:rPr>
      </w:pPr>
    </w:p>
    <w:p w14:paraId="7910CEB0">
      <w:pPr>
        <w:rPr>
          <w:rFonts w:hint="eastAsia"/>
          <w:sz w:val="28"/>
          <w:szCs w:val="28"/>
        </w:rPr>
      </w:pPr>
    </w:p>
    <w:p w14:paraId="3E7A551B">
      <w:pPr>
        <w:rPr>
          <w:rFonts w:hint="eastAsia"/>
          <w:sz w:val="28"/>
          <w:szCs w:val="28"/>
        </w:rPr>
      </w:pPr>
    </w:p>
    <w:p w14:paraId="6F3E4DC5">
      <w:pPr>
        <w:rPr>
          <w:rFonts w:hint="eastAsia"/>
          <w:sz w:val="28"/>
          <w:szCs w:val="28"/>
        </w:rPr>
      </w:pPr>
    </w:p>
    <w:p w14:paraId="3AF1CE89">
      <w:pPr>
        <w:rPr>
          <w:rFonts w:hint="eastAsia"/>
          <w:sz w:val="28"/>
          <w:szCs w:val="28"/>
        </w:rPr>
      </w:pPr>
      <w:r>
        <w:rPr>
          <w:rFonts w:hint="eastAsia"/>
          <w:sz w:val="28"/>
          <w:szCs w:val="28"/>
        </w:rPr>
        <w:t xml:space="preserve">                                   </w:t>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rPr>
        <w:t>承诺人：</w:t>
      </w:r>
    </w:p>
    <w:p w14:paraId="46F1E787">
      <w:pPr>
        <w:rPr>
          <w:rFonts w:hint="eastAsia"/>
          <w:sz w:val="28"/>
          <w:szCs w:val="28"/>
        </w:rPr>
      </w:pPr>
      <w:r>
        <w:rPr>
          <w:rFonts w:hint="eastAsia"/>
          <w:sz w:val="28"/>
          <w:szCs w:val="28"/>
        </w:rPr>
        <w:t xml:space="preserve">                                     </w:t>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lang w:val="en-US" w:eastAsia="zh-CN"/>
        </w:rPr>
        <w:tab/>
      </w:r>
      <w:r>
        <w:rPr>
          <w:rFonts w:hint="eastAsia"/>
          <w:sz w:val="28"/>
          <w:szCs w:val="28"/>
        </w:rPr>
        <w:t>承诺时间：</w:t>
      </w:r>
    </w:p>
    <w:p w14:paraId="1A19ED65">
      <w:pPr>
        <w:jc w:val="center"/>
        <w:rPr>
          <w:rFonts w:hint="eastAsia"/>
          <w:b/>
          <w:sz w:val="32"/>
          <w:szCs w:val="32"/>
        </w:rPr>
      </w:pPr>
      <w:r>
        <w:rPr>
          <w:rFonts w:hint="default"/>
          <w:lang w:val="en-US" w:eastAsia="zh-CN"/>
        </w:rPr>
        <w:br w:type="page"/>
      </w:r>
      <w:r>
        <w:rPr>
          <w:rFonts w:hint="eastAsia"/>
          <w:b/>
          <w:sz w:val="32"/>
          <w:szCs w:val="32"/>
        </w:rPr>
        <w:t>投标廉政承诺书</w:t>
      </w:r>
    </w:p>
    <w:p w14:paraId="4787CC96">
      <w:pPr>
        <w:rPr>
          <w:rFonts w:hint="eastAsia"/>
          <w:sz w:val="28"/>
          <w:szCs w:val="28"/>
        </w:rPr>
      </w:pPr>
      <w:r>
        <w:rPr>
          <w:rFonts w:hint="eastAsia"/>
          <w:sz w:val="28"/>
          <w:szCs w:val="28"/>
        </w:rPr>
        <w:t>湖南建筑高级技工学校：</w:t>
      </w:r>
    </w:p>
    <w:p w14:paraId="5F8DFC6C">
      <w:pPr>
        <w:ind w:firstLine="560" w:firstLineChars="200"/>
        <w:rPr>
          <w:rFonts w:hint="eastAsia"/>
          <w:sz w:val="28"/>
          <w:szCs w:val="28"/>
        </w:rPr>
      </w:pPr>
      <w:r>
        <w:rPr>
          <w:rFonts w:hint="eastAsia"/>
          <w:sz w:val="28"/>
          <w:szCs w:val="28"/>
        </w:rPr>
        <w:t>我单位响应你单位</w:t>
      </w:r>
      <w:r>
        <w:rPr>
          <w:rFonts w:hint="eastAsia"/>
          <w:sz w:val="28"/>
          <w:szCs w:val="28"/>
          <w:u w:val="single"/>
          <w:lang w:val="en-US" w:eastAsia="zh-CN"/>
        </w:rPr>
        <w:t>_      _</w:t>
      </w:r>
      <w:r>
        <w:rPr>
          <w:rFonts w:hint="eastAsia"/>
          <w:sz w:val="28"/>
          <w:szCs w:val="28"/>
        </w:rPr>
        <w:t>（项目编号：</w:t>
      </w:r>
      <w:r>
        <w:rPr>
          <w:rFonts w:hint="eastAsia"/>
          <w:sz w:val="28"/>
          <w:szCs w:val="28"/>
          <w:lang w:val="en-US" w:eastAsia="zh-CN"/>
        </w:rPr>
        <w:t>_________________________</w:t>
      </w:r>
      <w:r>
        <w:rPr>
          <w:rFonts w:hint="eastAsia"/>
          <w:sz w:val="28"/>
          <w:szCs w:val="28"/>
        </w:rPr>
        <w:t>）招标要求参加投标。我们将坚决遵守国家有关廉政要求，并郑重承诺：</w:t>
      </w:r>
    </w:p>
    <w:p w14:paraId="54746AAF">
      <w:pPr>
        <w:ind w:firstLine="560" w:firstLineChars="200"/>
        <w:rPr>
          <w:rFonts w:hint="eastAsia"/>
          <w:sz w:val="28"/>
          <w:szCs w:val="28"/>
        </w:rPr>
      </w:pPr>
      <w:r>
        <w:rPr>
          <w:rFonts w:hint="eastAsia"/>
          <w:sz w:val="28"/>
          <w:szCs w:val="28"/>
        </w:rPr>
        <w:t>一、不向招标相关工作人员及其亲属赠送礼金礼物、有价证券、回扣以及中介费、咨询费等。</w:t>
      </w:r>
    </w:p>
    <w:p w14:paraId="24639C60">
      <w:pPr>
        <w:ind w:firstLine="560" w:firstLineChars="200"/>
        <w:rPr>
          <w:rFonts w:hint="eastAsia"/>
          <w:sz w:val="28"/>
          <w:szCs w:val="28"/>
        </w:rPr>
      </w:pPr>
      <w:r>
        <w:rPr>
          <w:rFonts w:hint="eastAsia"/>
          <w:sz w:val="28"/>
          <w:szCs w:val="28"/>
        </w:rPr>
        <w:t>二、不为招标相关工作人员及其亲属报销应由相关单位或个人支付的费用。</w:t>
      </w:r>
    </w:p>
    <w:p w14:paraId="67297252">
      <w:pPr>
        <w:ind w:firstLine="560" w:firstLineChars="200"/>
        <w:rPr>
          <w:rFonts w:hint="eastAsia"/>
          <w:sz w:val="28"/>
          <w:szCs w:val="28"/>
        </w:rPr>
      </w:pPr>
      <w:r>
        <w:rPr>
          <w:rFonts w:hint="eastAsia"/>
          <w:sz w:val="28"/>
          <w:szCs w:val="28"/>
        </w:rPr>
        <w:t>三、不为招标相关工作人员及其亲属提供旅游、宴请、健身娱乐等。</w:t>
      </w:r>
    </w:p>
    <w:p w14:paraId="61A424E7">
      <w:pPr>
        <w:ind w:firstLine="560" w:firstLineChars="200"/>
        <w:rPr>
          <w:rFonts w:hint="eastAsia"/>
          <w:sz w:val="28"/>
          <w:szCs w:val="28"/>
        </w:rPr>
      </w:pPr>
      <w:r>
        <w:rPr>
          <w:rFonts w:hint="eastAsia"/>
          <w:sz w:val="28"/>
          <w:szCs w:val="28"/>
        </w:rPr>
        <w:t>四、不接受招标相关工作人员及其亲属介绍的与招标项目相关的设备（物资）采购、工程分包、劳务介绍等经济活动。</w:t>
      </w:r>
    </w:p>
    <w:p w14:paraId="594DD48F">
      <w:pPr>
        <w:ind w:firstLine="560" w:firstLineChars="200"/>
        <w:rPr>
          <w:rFonts w:hint="eastAsia"/>
          <w:sz w:val="28"/>
          <w:szCs w:val="28"/>
        </w:rPr>
      </w:pPr>
      <w:r>
        <w:rPr>
          <w:rFonts w:hint="eastAsia"/>
          <w:sz w:val="28"/>
          <w:szCs w:val="28"/>
        </w:rPr>
        <w:t>五、在投标过程中，不私下与招标相关工作人员接触、打听标底编制情况。</w:t>
      </w:r>
    </w:p>
    <w:p w14:paraId="7EE7F8F8">
      <w:pPr>
        <w:ind w:firstLine="560" w:firstLineChars="200"/>
        <w:rPr>
          <w:rFonts w:hint="eastAsia"/>
          <w:sz w:val="28"/>
          <w:szCs w:val="28"/>
        </w:rPr>
      </w:pPr>
      <w:r>
        <w:rPr>
          <w:rFonts w:hint="eastAsia"/>
          <w:sz w:val="28"/>
          <w:szCs w:val="28"/>
        </w:rPr>
        <w:t>如违反上述承诺，我单位愿承担相应的法律责任，并赔偿由此造成的经济损失。</w:t>
      </w:r>
    </w:p>
    <w:p w14:paraId="5DAD3A53">
      <w:pPr>
        <w:rPr>
          <w:rFonts w:hint="eastAsia"/>
          <w:sz w:val="28"/>
          <w:szCs w:val="28"/>
        </w:rPr>
      </w:pPr>
    </w:p>
    <w:p w14:paraId="725625C2">
      <w:pPr>
        <w:rPr>
          <w:rFonts w:hint="eastAsia"/>
          <w:sz w:val="28"/>
          <w:szCs w:val="28"/>
        </w:rPr>
      </w:pPr>
    </w:p>
    <w:p w14:paraId="44F0B3F1">
      <w:pPr>
        <w:rPr>
          <w:rFonts w:hint="eastAsia"/>
          <w:sz w:val="28"/>
          <w:szCs w:val="28"/>
        </w:rPr>
      </w:pPr>
    </w:p>
    <w:p w14:paraId="2746EB33">
      <w:pPr>
        <w:rPr>
          <w:rFonts w:hint="eastAsia"/>
          <w:sz w:val="28"/>
          <w:szCs w:val="28"/>
        </w:rPr>
      </w:pPr>
    </w:p>
    <w:p w14:paraId="6388E0C4">
      <w:pPr>
        <w:rPr>
          <w:rFonts w:hint="eastAsia"/>
          <w:sz w:val="28"/>
          <w:szCs w:val="28"/>
        </w:rPr>
      </w:pPr>
    </w:p>
    <w:p w14:paraId="29647560">
      <w:pPr>
        <w:ind w:left="5460" w:leftChars="0" w:firstLine="3780" w:firstLineChars="1350"/>
        <w:rPr>
          <w:rFonts w:hint="eastAsia"/>
          <w:sz w:val="28"/>
          <w:szCs w:val="28"/>
        </w:rPr>
      </w:pPr>
      <w:r>
        <w:rPr>
          <w:rFonts w:hint="eastAsia"/>
          <w:sz w:val="28"/>
          <w:szCs w:val="28"/>
        </w:rPr>
        <w:t>承诺单位：</w:t>
      </w:r>
    </w:p>
    <w:p w14:paraId="10386665">
      <w:pPr>
        <w:ind w:left="5460" w:leftChars="0" w:firstLine="3780" w:firstLineChars="1350"/>
        <w:rPr>
          <w:rFonts w:hint="eastAsia"/>
          <w:sz w:val="28"/>
          <w:szCs w:val="28"/>
        </w:rPr>
      </w:pPr>
      <w:r>
        <w:rPr>
          <w:rFonts w:hint="eastAsia"/>
          <w:sz w:val="28"/>
          <w:szCs w:val="28"/>
        </w:rPr>
        <w:t>授权代表：</w:t>
      </w:r>
    </w:p>
    <w:p w14:paraId="6923F9C3">
      <w:pPr>
        <w:ind w:left="5460" w:leftChars="0" w:firstLine="3780" w:firstLineChars="1350"/>
        <w:rPr>
          <w:rFonts w:hint="eastAsia"/>
          <w:sz w:val="28"/>
          <w:szCs w:val="28"/>
        </w:rPr>
      </w:pPr>
      <w:r>
        <w:rPr>
          <w:rFonts w:hint="eastAsia"/>
          <w:sz w:val="28"/>
          <w:szCs w:val="28"/>
        </w:rPr>
        <w:t>承诺时间：      年      月     日</w:t>
      </w:r>
    </w:p>
    <w:p w14:paraId="7BD23662">
      <w:pPr>
        <w:rPr>
          <w:rFonts w:hint="default"/>
          <w:lang w:val="en-US" w:eastAsia="zh-CN"/>
        </w:rPr>
      </w:pPr>
    </w:p>
    <w:p w14:paraId="164F109D"/>
    <w:sectPr>
      <w:headerReference r:id="rId3" w:type="default"/>
      <w:footerReference r:id="rId4" w:type="default"/>
      <w:pgSz w:w="19842" w:h="25512"/>
      <w:pgMar w:top="1440" w:right="1803" w:bottom="1440" w:left="180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F273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F1B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2E2D7"/>
    <w:multiLevelType w:val="singleLevel"/>
    <w:tmpl w:val="B5D2E2D7"/>
    <w:lvl w:ilvl="0" w:tentative="0">
      <w:start w:val="1"/>
      <w:numFmt w:val="chineseCounting"/>
      <w:suff w:val="nothing"/>
      <w:lvlText w:val="%1、"/>
      <w:lvlJc w:val="left"/>
      <w:rPr>
        <w:rFonts w:hint="eastAsia"/>
      </w:rPr>
    </w:lvl>
  </w:abstractNum>
  <w:abstractNum w:abstractNumId="1">
    <w:nsid w:val="DBB7D79D"/>
    <w:multiLevelType w:val="singleLevel"/>
    <w:tmpl w:val="DBB7D79D"/>
    <w:lvl w:ilvl="0" w:tentative="0">
      <w:start w:val="1"/>
      <w:numFmt w:val="decimal"/>
      <w:suff w:val="nothing"/>
      <w:lvlText w:val="%1、"/>
      <w:lvlJc w:val="left"/>
      <w:pPr>
        <w:ind w:left="0"/>
      </w:pPr>
    </w:lvl>
  </w:abstractNum>
  <w:abstractNum w:abstractNumId="2">
    <w:nsid w:val="4B185332"/>
    <w:multiLevelType w:val="singleLevel"/>
    <w:tmpl w:val="4B185332"/>
    <w:lvl w:ilvl="0" w:tentative="0">
      <w:start w:val="1"/>
      <w:numFmt w:val="chineseCounting"/>
      <w:suff w:val="nothing"/>
      <w:lvlText w:val="（%1）"/>
      <w:lvlJc w:val="left"/>
      <w:rPr>
        <w:rFonts w:hint="eastAsia"/>
      </w:rPr>
    </w:lvl>
  </w:abstractNum>
  <w:abstractNum w:abstractNumId="3">
    <w:nsid w:val="4C87E7EC"/>
    <w:multiLevelType w:val="singleLevel"/>
    <w:tmpl w:val="4C87E7EC"/>
    <w:lvl w:ilvl="0" w:tentative="0">
      <w:start w:val="3"/>
      <w:numFmt w:val="chineseCounting"/>
      <w:suff w:val="nothing"/>
      <w:lvlText w:val="（%1）"/>
      <w:lvlJc w:val="left"/>
      <w:rPr>
        <w:rFonts w:hint="eastAsia"/>
      </w:rPr>
    </w:lvl>
  </w:abstractNum>
  <w:abstractNum w:abstractNumId="4">
    <w:nsid w:val="4EABE701"/>
    <w:multiLevelType w:val="singleLevel"/>
    <w:tmpl w:val="4EABE701"/>
    <w:lvl w:ilvl="0" w:tentative="0">
      <w:start w:val="1"/>
      <w:numFmt w:val="decimal"/>
      <w:suff w:val="space"/>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Y2IwMjdjN2MzYTc4ZTNhYTZhNDU0MzBiOGMwNjYifQ=="/>
  </w:docVars>
  <w:rsids>
    <w:rsidRoot w:val="7A052AC0"/>
    <w:rsid w:val="50F81D88"/>
    <w:rsid w:val="59F001C8"/>
    <w:rsid w:val="5B2D29E4"/>
    <w:rsid w:val="6A9816EF"/>
    <w:rsid w:val="765E59C5"/>
    <w:rsid w:val="77F8544B"/>
    <w:rsid w:val="7A052AC0"/>
    <w:rsid w:val="7F103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Calibri" w:hAnsi="Calibri"/>
      <w:b/>
      <w:bCs/>
      <w:kern w:val="0"/>
      <w:sz w:val="24"/>
      <w:szCs w:val="2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3177</Words>
  <Characters>3229</Characters>
  <Lines>0</Lines>
  <Paragraphs>0</Paragraphs>
  <TotalTime>0</TotalTime>
  <ScaleCrop>false</ScaleCrop>
  <LinksUpToDate>false</LinksUpToDate>
  <CharactersWithSpaces>3449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2026-05-07T04:24:00Z</dcterms:created>
  <dc:creator>虹虹要fighting。</dc:creator>
  <cp:lastModifiedBy>虹虹要fighting。</cp:lastModifiedBy>
  <dcterms:modified xsi:type="dcterms:W3CDTF">2026-05-27T02:53:42Z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EF6D5FA669514B6780E4F93E259A4065_13</vt:lpwstr>
  </property>
</Properties>
</file>