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kern w:val="0"/>
          <w:sz w:val="36"/>
          <w:szCs w:val="36"/>
        </w:rPr>
        <w:t>年湖南建筑高级技工学校预算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eastAsia="方正小标宋_GBK" w:cs="Times New Roman"/>
          <w:b/>
          <w:bCs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年单位预算说明</w:t>
      </w:r>
    </w:p>
    <w:p>
      <w:pPr>
        <w:widowControl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年单位预算表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注：以上部门预算报表中，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本部门无相关收支情况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，也需公开空表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 w:cs="Times New Roman"/>
          <w:bCs/>
          <w:kern w:val="0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年单位预算说明</w:t>
      </w:r>
    </w:p>
    <w:p>
      <w:pPr>
        <w:widowControl/>
        <w:spacing w:line="600" w:lineRule="exact"/>
        <w:ind w:firstLine="320" w:firstLineChars="10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一、单位基本概况</w:t>
      </w:r>
    </w:p>
    <w:p>
      <w:pPr>
        <w:widowControl/>
        <w:spacing w:line="600" w:lineRule="exact"/>
        <w:ind w:firstLine="628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widowControl/>
        <w:spacing w:line="600" w:lineRule="exact"/>
        <w:ind w:firstLine="627" w:firstLineChars="196"/>
        <w:rPr>
          <w:rFonts w:eastAsia="楷体_GB2312"/>
          <w:b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湖南建筑高级技工学校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(湖南建筑中等职业学校)</w:t>
      </w:r>
      <w:r>
        <w:rPr>
          <w:rFonts w:hint="eastAsia" w:ascii="仿宋_GB2312" w:eastAsia="仿宋_GB2312"/>
          <w:sz w:val="32"/>
          <w:szCs w:val="32"/>
        </w:rPr>
        <w:t>是由湖南省人力资源和社会保障厅主管，湖南建</w:t>
      </w:r>
      <w:r>
        <w:rPr>
          <w:rFonts w:hint="eastAsia" w:ascii="仿宋_GB2312" w:eastAsia="仿宋_GB2312"/>
          <w:sz w:val="32"/>
          <w:szCs w:val="32"/>
          <w:lang w:eastAsia="zh-CN"/>
        </w:rPr>
        <w:t>设投资</w:t>
      </w:r>
      <w:r>
        <w:rPr>
          <w:rFonts w:hint="eastAsia" w:ascii="仿宋_GB2312" w:eastAsia="仿宋_GB2312"/>
          <w:sz w:val="32"/>
          <w:szCs w:val="32"/>
        </w:rPr>
        <w:t>集团有限公司主办，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省内唯一一所全日制重点建筑类高级技工学校，为公益二类事业单位，主要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从事中职、技工教育。</w:t>
      </w:r>
    </w:p>
    <w:p>
      <w:pPr>
        <w:widowControl/>
        <w:spacing w:line="600" w:lineRule="exact"/>
        <w:ind w:firstLine="628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纳入部门预算编报范围的单位1个—本级，202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年机构无变动。内设7个党政管理机构，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个教学教辅机构，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个群团、纪检机构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320" w:firstLineChars="100"/>
        <w:jc w:val="left"/>
        <w:rPr>
          <w:rFonts w:hint="eastAsia" w:eastAsia="黑体"/>
          <w:bCs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二</w:t>
      </w:r>
      <w:r>
        <w:rPr>
          <w:rFonts w:eastAsia="黑体"/>
          <w:bCs/>
          <w:kern w:val="0"/>
          <w:sz w:val="32"/>
          <w:szCs w:val="32"/>
        </w:rPr>
        <w:t>、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预算</w:t>
      </w:r>
      <w:r>
        <w:rPr>
          <w:rFonts w:eastAsia="黑体"/>
          <w:bCs/>
          <w:kern w:val="0"/>
          <w:sz w:val="32"/>
          <w:szCs w:val="32"/>
        </w:rPr>
        <w:t>单位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构成</w:t>
      </w:r>
    </w:p>
    <w:p>
      <w:pPr>
        <w:adjustRightInd w:val="0"/>
        <w:snapToGrid w:val="0"/>
        <w:spacing w:line="600" w:lineRule="exact"/>
        <w:ind w:firstLine="640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本单位只有本级，无下属预算单位，因此本单位预算仅含本级预算。</w:t>
      </w:r>
    </w:p>
    <w:p>
      <w:pPr>
        <w:widowControl/>
        <w:adjustRightInd w:val="0"/>
        <w:snapToGrid w:val="0"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三</w:t>
      </w:r>
      <w:r>
        <w:rPr>
          <w:rFonts w:eastAsia="黑体"/>
          <w:bCs/>
          <w:kern w:val="0"/>
          <w:sz w:val="32"/>
          <w:szCs w:val="32"/>
        </w:rPr>
        <w:t>、单位收支总体情况</w:t>
      </w:r>
    </w:p>
    <w:p>
      <w:pPr>
        <w:widowControl/>
        <w:spacing w:line="600" w:lineRule="exact"/>
        <w:ind w:firstLine="628" w:firstLineChars="19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</w:rPr>
        <w:t>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6132.81</w:t>
      </w:r>
      <w:r>
        <w:rPr>
          <w:rFonts w:hint="eastAsia" w:eastAsia="仿宋_GB2312"/>
          <w:sz w:val="32"/>
          <w:szCs w:val="32"/>
        </w:rPr>
        <w:t>万元，具体为上年结转结余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1470.51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4662.3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3337.3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</w:rPr>
        <w:t>795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事业单位经营收入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530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本年</w:t>
      </w:r>
      <w:r>
        <w:rPr>
          <w:rFonts w:eastAsia="仿宋_GB2312"/>
          <w:sz w:val="32"/>
          <w:szCs w:val="32"/>
        </w:rPr>
        <w:t>收入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较去年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721.21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是</w:t>
      </w:r>
      <w:r>
        <w:rPr>
          <w:rFonts w:hint="eastAsia" w:eastAsia="仿宋_GB2312"/>
          <w:sz w:val="32"/>
          <w:szCs w:val="32"/>
          <w:lang w:eastAsia="zh-CN"/>
        </w:rPr>
        <w:t>一般公共预算拨款增加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60</w:t>
      </w:r>
      <w:r>
        <w:rPr>
          <w:rFonts w:hint="eastAsia" w:eastAsia="仿宋_GB2312"/>
          <w:sz w:val="32"/>
          <w:szCs w:val="32"/>
          <w:lang w:val="en-US" w:eastAsia="zh-CN"/>
        </w:rPr>
        <w:t>万元（提前编入部门预算的省级教育资金），二是</w:t>
      </w:r>
      <w:r>
        <w:rPr>
          <w:rFonts w:hint="eastAsia" w:eastAsia="仿宋_GB2312"/>
          <w:sz w:val="32"/>
          <w:szCs w:val="32"/>
        </w:rPr>
        <w:t>上年结转结余一般公共预算拨款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661.21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（年中追加的专项资金）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eastAsia="仿宋_GB2312"/>
          <w:sz w:val="32"/>
          <w:szCs w:val="32"/>
        </w:rPr>
        <w:t>是纳入专户管理的非税收入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，四是事业单位经营收入增加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万元。</w:t>
      </w:r>
    </w:p>
    <w:p>
      <w:pPr>
        <w:widowControl/>
        <w:spacing w:line="600" w:lineRule="exact"/>
        <w:ind w:firstLine="628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年本单位支出预算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6132.81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5202.6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509.21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150</w:t>
      </w:r>
      <w:r>
        <w:rPr>
          <w:rFonts w:hint="eastAsia" w:eastAsia="仿宋_GB2312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</w:rPr>
        <w:t>271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。支出较去年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721.21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</w:rPr>
        <w:t>原因</w:t>
      </w:r>
      <w:r>
        <w:rPr>
          <w:rFonts w:hint="eastAsia" w:eastAsia="仿宋_GB2312"/>
          <w:sz w:val="32"/>
          <w:szCs w:val="32"/>
          <w:lang w:eastAsia="zh-CN"/>
        </w:rPr>
        <w:t>是专业转型、新专业开设及教育质量提升等支出增加。</w:t>
      </w:r>
    </w:p>
    <w:p>
      <w:pPr>
        <w:widowControl/>
        <w:spacing w:line="600" w:lineRule="exac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、一般公共预算拨款支出</w:t>
      </w:r>
    </w:p>
    <w:p>
      <w:pPr>
        <w:widowControl/>
        <w:spacing w:line="600" w:lineRule="exact"/>
        <w:ind w:firstLine="66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年本单位一般公共预算拨款支出预算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4807.81</w:t>
      </w:r>
      <w:r>
        <w:rPr>
          <w:rFonts w:eastAsia="仿宋_GB2312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其中，</w:t>
      </w:r>
      <w:r>
        <w:rPr>
          <w:rFonts w:hint="eastAsia" w:eastAsia="仿宋_GB2312" w:cs="Times New Roman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4050.6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84.25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eastAsia="仿宋_GB2312" w:cs="Times New Roman"/>
          <w:sz w:val="32"/>
          <w:szCs w:val="32"/>
          <w:lang w:eastAsia="zh-CN"/>
        </w:rPr>
        <w:t>住房保障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271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5.64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eastAsia="仿宋_GB2312" w:cs="Times New Roman"/>
          <w:sz w:val="32"/>
          <w:szCs w:val="32"/>
          <w:lang w:eastAsia="zh-CN"/>
        </w:rPr>
        <w:t>，社会保障和就业支出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351.21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 xml:space="preserve">万元，占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7.3 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%，卫生健康支出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135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2.81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年本单位基本支出预算数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4050.6</w:t>
      </w:r>
      <w:r>
        <w:rPr>
          <w:rFonts w:eastAsia="仿宋_GB2312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年本单位项目支出预算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1470.51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  <w:lang w:eastAsia="zh-CN"/>
        </w:rPr>
        <w:t>。其中</w:t>
      </w:r>
      <w:r>
        <w:rPr>
          <w:rFonts w:hint="eastAsia" w:eastAsia="仿宋_GB2312"/>
          <w:sz w:val="32"/>
          <w:szCs w:val="32"/>
          <w:lang w:val="en-US" w:eastAsia="zh-CN"/>
        </w:rPr>
        <w:t>:其他事业发展专项支出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1467.51</w:t>
      </w:r>
      <w:r>
        <w:rPr>
          <w:rFonts w:hint="eastAsia" w:eastAsia="仿宋_GB2312"/>
          <w:sz w:val="32"/>
          <w:szCs w:val="32"/>
          <w:lang w:val="en-US" w:eastAsia="zh-CN"/>
        </w:rPr>
        <w:t>万元,主要用于中职学校学生资助补助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职业院校教师素质提升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职业院校教育质量提升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学校安全及新专业建设</w:t>
      </w:r>
      <w:r>
        <w:rPr>
          <w:rFonts w:hint="eastAsia" w:eastAsia="仿宋_GB2312"/>
          <w:sz w:val="32"/>
          <w:szCs w:val="32"/>
          <w:lang w:val="en-US" w:eastAsia="zh-CN"/>
        </w:rPr>
        <w:t>等方面;省级专项资金3万元,主要用于基础教育发展等方面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本单位无政府性基金安排的支出。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、其他重要事项的情况说明</w:t>
      </w:r>
    </w:p>
    <w:p>
      <w:pPr>
        <w:widowControl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  </w:t>
      </w: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年本单位</w:t>
      </w:r>
      <w:r>
        <w:rPr>
          <w:rFonts w:hint="eastAsia" w:eastAsia="仿宋_GB2312"/>
          <w:sz w:val="32"/>
          <w:szCs w:val="32"/>
        </w:rPr>
        <w:t>无一般公共预算机关运行经费。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</w:t>
      </w:r>
      <w:r>
        <w:rPr>
          <w:rFonts w:hint="eastAsia" w:eastAsia="仿宋_GB2312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</w:rPr>
        <w:t>家单位的机关运行经费当年一般公共预算拨款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万元，比20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年预算减少（增加）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万元，下降（上升）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%。</w:t>
      </w:r>
    </w:p>
    <w:p>
      <w:pPr>
        <w:widowControl/>
        <w:numPr>
          <w:ilvl w:val="0"/>
          <w:numId w:val="0"/>
        </w:num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 xml:space="preserve">   (二)</w:t>
      </w:r>
      <w:r>
        <w:rPr>
          <w:rFonts w:eastAsia="楷体_GB2312"/>
          <w:b/>
          <w:bCs w:val="0"/>
          <w:i w:val="0"/>
          <w:iCs w:val="0"/>
          <w:sz w:val="32"/>
          <w:szCs w:val="32"/>
        </w:rPr>
        <w:t>“三公</w:t>
      </w:r>
      <w:r>
        <w:rPr>
          <w:rFonts w:eastAsia="楷体_GB2312"/>
          <w:b/>
          <w:sz w:val="32"/>
          <w:szCs w:val="32"/>
        </w:rPr>
        <w:t>”经费预算：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年本单位“三公”经费预算数为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万元（其中，公务用车购置费 万元，公务用车运行费 万元），因公出国（境）费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年“三公”经费预算较上年持平），主要是</w:t>
      </w:r>
      <w:r>
        <w:rPr>
          <w:rFonts w:hint="eastAsia" w:eastAsia="仿宋_GB2312"/>
          <w:sz w:val="32"/>
          <w:szCs w:val="32"/>
          <w:lang w:eastAsia="zh-CN"/>
        </w:rPr>
        <w:t>单位无</w:t>
      </w:r>
      <w:r>
        <w:rPr>
          <w:rFonts w:hint="eastAsia" w:eastAsia="仿宋_GB2312"/>
          <w:sz w:val="32"/>
          <w:szCs w:val="32"/>
        </w:rPr>
        <w:t>一般公共预算</w:t>
      </w:r>
      <w:r>
        <w:rPr>
          <w:rFonts w:hint="eastAsia" w:eastAsia="仿宋_GB2312"/>
          <w:sz w:val="32"/>
          <w:szCs w:val="32"/>
          <w:lang w:eastAsia="zh-CN"/>
        </w:rPr>
        <w:t>“三公”经费预算。</w:t>
      </w:r>
    </w:p>
    <w:p>
      <w:pPr>
        <w:widowControl/>
        <w:numPr>
          <w:ilvl w:val="0"/>
          <w:numId w:val="0"/>
        </w:num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 xml:space="preserve">   (三)</w:t>
      </w:r>
      <w:r>
        <w:rPr>
          <w:rFonts w:eastAsia="楷体_GB2312"/>
          <w:b/>
          <w:sz w:val="32"/>
          <w:szCs w:val="32"/>
        </w:rPr>
        <w:t>一般性支出情况：</w:t>
      </w:r>
      <w:r>
        <w:rPr>
          <w:rFonts w:hint="eastAsia"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10次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会议，人数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hint="eastAsia" w:eastAsia="仿宋_GB2312"/>
          <w:sz w:val="32"/>
          <w:szCs w:val="32"/>
          <w:u w:val="single"/>
        </w:rPr>
        <w:t>事业单位教职工</w:t>
      </w:r>
      <w:r>
        <w:rPr>
          <w:rFonts w:hint="eastAsia" w:eastAsia="仿宋_GB2312"/>
          <w:sz w:val="32"/>
          <w:szCs w:val="32"/>
          <w:u w:val="single"/>
          <w:lang w:eastAsia="zh-CN"/>
        </w:rPr>
        <w:t>参加学术交流活动会议、学校发展专项会议等</w:t>
      </w:r>
      <w:r>
        <w:rPr>
          <w:rFonts w:eastAsia="仿宋_GB2312"/>
          <w:kern w:val="0"/>
          <w:sz w:val="32"/>
          <w:szCs w:val="32"/>
        </w:rPr>
        <w:t>；培训费预算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万元，拟开展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培训，人数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事业单位在职教职工继续教育培训、双师型教师培训、班主任培训等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本单位</w:t>
      </w:r>
      <w:r>
        <w:rPr>
          <w:rFonts w:hint="eastAsia" w:eastAsia="仿宋_GB2312"/>
          <w:kern w:val="0"/>
          <w:sz w:val="32"/>
          <w:szCs w:val="32"/>
          <w:lang w:eastAsia="zh-CN"/>
        </w:rPr>
        <w:t>会议费、</w:t>
      </w:r>
      <w:r>
        <w:rPr>
          <w:rFonts w:hint="eastAsia" w:eastAsia="仿宋_GB2312"/>
          <w:kern w:val="0"/>
          <w:sz w:val="32"/>
          <w:szCs w:val="32"/>
        </w:rPr>
        <w:t>培训费</w:t>
      </w:r>
      <w:r>
        <w:rPr>
          <w:rFonts w:hint="eastAsia" w:eastAsia="仿宋_GB2312"/>
          <w:sz w:val="32"/>
          <w:szCs w:val="32"/>
        </w:rPr>
        <w:t>由纳入专户管理的非税收入资金安排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（注：三类会议、培训活动，节庆、晚会、论坛、赛事等活动，请分项列明活动计划及经费预算情况）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本部门政府采购预算总额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（注：如某大类无采购预算，则填“0”）</w:t>
      </w:r>
    </w:p>
    <w:p>
      <w:pPr>
        <w:spacing w:line="600" w:lineRule="exact"/>
        <w:ind w:firstLine="641" w:firstLineChars="20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</w:t>
      </w: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12月底，本单位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</w:rPr>
        <w:t>辆；</w:t>
      </w:r>
      <w:r>
        <w:rPr>
          <w:rFonts w:eastAsia="仿宋_GB2312"/>
          <w:bCs/>
          <w:kern w:val="0"/>
          <w:sz w:val="32"/>
          <w:szCs w:val="32"/>
          <w:highlight w:val="none"/>
        </w:rPr>
        <w:t>单位价值100万元以上设备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台</w:t>
      </w:r>
      <w:r>
        <w:rPr>
          <w:rFonts w:hint="eastAsia" w:eastAsia="仿宋_GB2312"/>
          <w:bCs/>
          <w:kern w:val="0"/>
          <w:sz w:val="32"/>
          <w:szCs w:val="32"/>
          <w:highlight w:val="none"/>
        </w:rPr>
        <w:t>（不含车辆）</w:t>
      </w:r>
      <w:r>
        <w:rPr>
          <w:rFonts w:eastAsia="仿宋_GB2312"/>
          <w:bCs/>
          <w:kern w:val="0"/>
          <w:sz w:val="32"/>
          <w:szCs w:val="32"/>
        </w:rPr>
        <w:t>。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年</w:t>
      </w:r>
      <w:r>
        <w:rPr>
          <w:rFonts w:eastAsia="仿宋_GB2312"/>
          <w:bCs/>
          <w:kern w:val="0"/>
          <w:sz w:val="32"/>
          <w:szCs w:val="32"/>
        </w:rPr>
        <w:t>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</w:t>
      </w:r>
      <w:r>
        <w:rPr>
          <w:rFonts w:eastAsia="仿宋_GB2312"/>
          <w:bCs/>
          <w:kern w:val="0"/>
          <w:sz w:val="32"/>
          <w:szCs w:val="32"/>
          <w:highlight w:val="none"/>
        </w:rPr>
        <w:t>新增配备单位价值100万元以上设备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  <w:highlight w:val="none"/>
        </w:rPr>
        <w:t>台</w:t>
      </w:r>
      <w:r>
        <w:rPr>
          <w:rFonts w:hint="eastAsia" w:eastAsia="仿宋_GB2312"/>
          <w:bCs/>
          <w:kern w:val="0"/>
          <w:sz w:val="32"/>
          <w:szCs w:val="32"/>
          <w:highlight w:val="none"/>
        </w:rPr>
        <w:t>（不含车辆）</w:t>
      </w:r>
      <w:r>
        <w:rPr>
          <w:rFonts w:eastAsia="仿宋_GB2312"/>
          <w:bCs/>
          <w:kern w:val="0"/>
          <w:sz w:val="32"/>
          <w:szCs w:val="32"/>
          <w:highlight w:val="none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本单位所有支出实行绩效目标管理。纳入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年</w:t>
      </w:r>
      <w:r>
        <w:rPr>
          <w:rFonts w:eastAsia="仿宋_GB2312"/>
          <w:bCs/>
          <w:kern w:val="0"/>
          <w:sz w:val="32"/>
          <w:szCs w:val="32"/>
        </w:rPr>
        <w:t>单位整体支出绩效目标的金额为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4662.3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4662.3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</w:rPr>
        <w:t>202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5</w:t>
      </w:r>
      <w:r>
        <w:rPr>
          <w:rFonts w:eastAsia="方正小标宋_GBK"/>
          <w:bCs/>
          <w:kern w:val="0"/>
          <w:sz w:val="36"/>
          <w:szCs w:val="36"/>
        </w:rPr>
        <w:t>年单位预算表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见附表湖南建筑高级技工学校202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年部门预算表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_GBK">
    <w:altName w:val="汉仪书宋二KW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AFF9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2025-02-25T18:37:50Z</dcterms:created>
  <dc:creator>Data</dc:creator>
  <cp:lastModifiedBy>Little Orange</cp:lastModifiedBy>
  <dcterms:modified xsi:type="dcterms:W3CDTF">2025-02-25T18:37:53Z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66AEC299810B4192819DBD67C08D3FDA_42</vt:lpwstr>
  </property>
</Properties>
</file>